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615B8" w14:textId="55B5257B" w:rsidR="000B6690" w:rsidRPr="000B6690" w:rsidRDefault="000B6690" w:rsidP="000B6690">
      <w:pPr>
        <w:tabs>
          <w:tab w:val="right" w:pos="9639"/>
        </w:tabs>
        <w:overflowPunct w:val="0"/>
        <w:autoSpaceDE w:val="0"/>
        <w:autoSpaceDN w:val="0"/>
        <w:adjustRightInd w:val="0"/>
        <w:jc w:val="left"/>
        <w:textAlignment w:val="baseline"/>
        <w:rPr>
          <w:rFonts w:ascii="Arial" w:eastAsia="宋体" w:hAnsi="Arial" w:cs="Arial"/>
          <w:b/>
          <w:noProof/>
          <w:kern w:val="0"/>
          <w:sz w:val="24"/>
          <w:szCs w:val="20"/>
        </w:rPr>
      </w:pPr>
      <w:r w:rsidRPr="000B6690">
        <w:rPr>
          <w:rFonts w:ascii="Arial" w:eastAsia="宋体" w:hAnsi="Arial" w:cs="Arial"/>
          <w:b/>
          <w:noProof/>
          <w:kern w:val="0"/>
          <w:sz w:val="24"/>
          <w:szCs w:val="20"/>
        </w:rPr>
        <w:t>3GPP TSG-RAN WG2 Meeting #1</w:t>
      </w:r>
      <w:r w:rsidR="00304240">
        <w:rPr>
          <w:rFonts w:ascii="Arial" w:eastAsia="宋体" w:hAnsi="Arial" w:cs="Arial"/>
          <w:b/>
          <w:noProof/>
          <w:kern w:val="0"/>
          <w:sz w:val="24"/>
          <w:szCs w:val="20"/>
        </w:rPr>
        <w:t>20</w:t>
      </w:r>
      <w:r w:rsidRPr="000B6690">
        <w:rPr>
          <w:rFonts w:ascii="Arial" w:eastAsia="宋体" w:hAnsi="Arial" w:cs="Arial"/>
          <w:b/>
          <w:noProof/>
          <w:kern w:val="0"/>
          <w:sz w:val="24"/>
          <w:szCs w:val="20"/>
        </w:rPr>
        <w:tab/>
      </w:r>
      <w:r w:rsidR="007C7FDE" w:rsidRPr="007C7FDE">
        <w:rPr>
          <w:rFonts w:ascii="Arial" w:eastAsia="宋体" w:hAnsi="Arial" w:cs="Arial"/>
          <w:b/>
          <w:noProof/>
          <w:kern w:val="0"/>
          <w:sz w:val="24"/>
          <w:szCs w:val="20"/>
        </w:rPr>
        <w:t>R2-</w:t>
      </w:r>
      <w:r w:rsidR="00BE3ECD" w:rsidRPr="00BE3ECD">
        <w:t xml:space="preserve"> </w:t>
      </w:r>
      <w:r w:rsidR="006D4F64" w:rsidRPr="006D4F64">
        <w:rPr>
          <w:rFonts w:ascii="Arial" w:eastAsia="宋体" w:hAnsi="Arial" w:cs="Arial"/>
          <w:b/>
          <w:noProof/>
          <w:kern w:val="0"/>
          <w:sz w:val="24"/>
          <w:szCs w:val="20"/>
        </w:rPr>
        <w:t>22</w:t>
      </w:r>
      <w:r w:rsidR="00304240">
        <w:rPr>
          <w:rFonts w:ascii="Arial" w:eastAsia="宋体" w:hAnsi="Arial" w:cs="Arial"/>
          <w:b/>
          <w:noProof/>
          <w:kern w:val="0"/>
          <w:sz w:val="24"/>
          <w:szCs w:val="20"/>
        </w:rPr>
        <w:t>1</w:t>
      </w:r>
      <w:r w:rsidR="004D7A64">
        <w:rPr>
          <w:rFonts w:ascii="Arial" w:eastAsia="宋体" w:hAnsi="Arial" w:cs="Arial"/>
          <w:b/>
          <w:noProof/>
          <w:kern w:val="0"/>
          <w:sz w:val="24"/>
          <w:szCs w:val="20"/>
        </w:rPr>
        <w:t>2031</w:t>
      </w:r>
    </w:p>
    <w:p w14:paraId="4BF14776" w14:textId="1A4D0678" w:rsidR="00AA3FAE" w:rsidRPr="005B2E70" w:rsidRDefault="00CC1A0C" w:rsidP="000B6690">
      <w:pPr>
        <w:tabs>
          <w:tab w:val="right" w:pos="9630"/>
        </w:tabs>
        <w:overflowPunct w:val="0"/>
        <w:autoSpaceDE w:val="0"/>
        <w:autoSpaceDN w:val="0"/>
        <w:adjustRightInd w:val="0"/>
        <w:jc w:val="left"/>
        <w:textAlignment w:val="baseline"/>
        <w:rPr>
          <w:rFonts w:ascii="Arial" w:eastAsia="宋体" w:hAnsi="Arial" w:cs="Arial"/>
          <w:b/>
          <w:noProof/>
          <w:kern w:val="0"/>
          <w:sz w:val="24"/>
          <w:szCs w:val="20"/>
        </w:rPr>
      </w:pPr>
      <w:r>
        <w:rPr>
          <w:rFonts w:ascii="Arial" w:eastAsia="宋体" w:hAnsi="Arial" w:cs="Arial"/>
          <w:b/>
          <w:sz w:val="24"/>
        </w:rPr>
        <w:t>1</w:t>
      </w:r>
      <w:r w:rsidR="00403E57">
        <w:rPr>
          <w:rFonts w:ascii="Arial" w:eastAsia="宋体" w:hAnsi="Arial" w:cs="Arial"/>
          <w:b/>
          <w:sz w:val="24"/>
        </w:rPr>
        <w:t>4</w:t>
      </w:r>
      <w:r w:rsidR="005039F0">
        <w:rPr>
          <w:rFonts w:ascii="Arial" w:eastAsia="宋体" w:hAnsi="Arial" w:cs="Arial"/>
          <w:b/>
          <w:sz w:val="24"/>
          <w:vertAlign w:val="superscript"/>
        </w:rPr>
        <w:t>th</w:t>
      </w:r>
      <w:r w:rsidR="000B6690" w:rsidRPr="005C2CC5">
        <w:rPr>
          <w:rFonts w:ascii="Arial" w:eastAsia="宋体" w:hAnsi="Arial" w:cs="Arial"/>
          <w:b/>
          <w:sz w:val="24"/>
        </w:rPr>
        <w:t>–</w:t>
      </w:r>
      <w:r w:rsidR="00817607">
        <w:rPr>
          <w:rFonts w:ascii="Arial" w:eastAsia="宋体" w:hAnsi="Arial" w:cs="Arial"/>
          <w:b/>
          <w:sz w:val="24"/>
        </w:rPr>
        <w:t xml:space="preserve"> </w:t>
      </w:r>
      <w:r w:rsidR="00E10F13">
        <w:rPr>
          <w:rFonts w:ascii="Arial" w:eastAsia="宋体" w:hAnsi="Arial" w:cs="Arial"/>
          <w:b/>
          <w:sz w:val="24"/>
        </w:rPr>
        <w:t>1</w:t>
      </w:r>
      <w:r w:rsidR="00403E57">
        <w:rPr>
          <w:rFonts w:ascii="Arial" w:eastAsia="宋体" w:hAnsi="Arial" w:cs="Arial"/>
          <w:b/>
          <w:sz w:val="24"/>
        </w:rPr>
        <w:t>8</w:t>
      </w:r>
      <w:r w:rsidR="005039F0">
        <w:rPr>
          <w:rFonts w:ascii="Arial" w:eastAsia="宋体" w:hAnsi="Arial" w:cs="Arial"/>
          <w:b/>
          <w:sz w:val="24"/>
          <w:vertAlign w:val="superscript"/>
        </w:rPr>
        <w:t>th</w:t>
      </w:r>
      <w:r w:rsidR="007E0AA7">
        <w:rPr>
          <w:rFonts w:ascii="Arial" w:eastAsia="宋体" w:hAnsi="Arial" w:cs="Arial"/>
          <w:b/>
          <w:sz w:val="24"/>
          <w:vertAlign w:val="superscript"/>
        </w:rPr>
        <w:t xml:space="preserve"> </w:t>
      </w:r>
      <w:r w:rsidR="00403E57">
        <w:rPr>
          <w:rFonts w:ascii="Arial" w:eastAsia="宋体" w:hAnsi="Arial" w:cs="Arial"/>
          <w:b/>
          <w:sz w:val="24"/>
        </w:rPr>
        <w:t>November</w:t>
      </w:r>
      <w:r w:rsidR="000B6690" w:rsidRPr="005C2CC5">
        <w:rPr>
          <w:rFonts w:ascii="Arial" w:eastAsia="宋体" w:hAnsi="Arial" w:cs="Arial"/>
          <w:b/>
          <w:sz w:val="24"/>
        </w:rPr>
        <w:t xml:space="preserve"> 202</w:t>
      </w:r>
      <w:r w:rsidR="009A2412">
        <w:rPr>
          <w:rFonts w:ascii="Arial" w:eastAsia="宋体" w:hAnsi="Arial" w:cs="Arial"/>
          <w:b/>
          <w:sz w:val="24"/>
        </w:rPr>
        <w:t>2</w:t>
      </w:r>
      <w:r w:rsidR="005B2E70">
        <w:rPr>
          <w:rFonts w:ascii="Arial" w:eastAsia="宋体" w:hAnsi="Arial" w:cs="Arial"/>
          <w:b/>
          <w:noProof/>
          <w:kern w:val="0"/>
          <w:sz w:val="24"/>
          <w:szCs w:val="20"/>
        </w:rPr>
        <w:tab/>
      </w:r>
      <w:r w:rsidR="00AA3FAE" w:rsidRPr="00AA3FAE">
        <w:rPr>
          <w:rFonts w:ascii="Arial" w:eastAsia="宋体" w:hAnsi="Arial" w:cs="黑体"/>
          <w:b/>
          <w:bCs/>
          <w:kern w:val="0"/>
          <w:sz w:val="24"/>
          <w:lang w:val="en-GB"/>
        </w:rPr>
        <w:tab/>
      </w:r>
      <w:r w:rsidR="00AA3FAE" w:rsidRPr="000B09C9">
        <w:rPr>
          <w:rFonts w:ascii="Arial" w:eastAsia="Dotum" w:hAnsi="Arial" w:cs="Times New Roman"/>
          <w:b/>
          <w:bCs/>
          <w:kern w:val="0"/>
          <w:sz w:val="24"/>
          <w:szCs w:val="18"/>
          <w:lang w:val="en-GB"/>
        </w:rPr>
        <w:tab/>
      </w:r>
    </w:p>
    <w:p w14:paraId="0A8C0162" w14:textId="3532C0AC" w:rsidR="006F3844" w:rsidRDefault="006F3844" w:rsidP="006F3844">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Agenda Item:</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8.</w:t>
      </w:r>
      <w:r w:rsidR="005039F0">
        <w:rPr>
          <w:rFonts w:ascii="Arial" w:eastAsia="宋体" w:hAnsi="Arial" w:cs="Times New Roman"/>
          <w:b/>
          <w:bCs/>
          <w:kern w:val="0"/>
          <w:sz w:val="22"/>
          <w:szCs w:val="20"/>
          <w:lang w:val="en-GB"/>
        </w:rPr>
        <w:t>12</w:t>
      </w:r>
      <w:r w:rsidR="00175A07">
        <w:rPr>
          <w:rFonts w:ascii="Arial" w:eastAsia="宋体" w:hAnsi="Arial" w:cs="Times New Roman"/>
          <w:b/>
          <w:bCs/>
          <w:kern w:val="0"/>
          <w:sz w:val="22"/>
          <w:szCs w:val="20"/>
          <w:lang w:val="en-GB"/>
        </w:rPr>
        <w:t>.</w:t>
      </w:r>
      <w:r w:rsidR="00AA5BAF">
        <w:rPr>
          <w:rFonts w:ascii="Arial" w:eastAsia="宋体" w:hAnsi="Arial" w:cs="Times New Roman"/>
          <w:b/>
          <w:bCs/>
          <w:kern w:val="0"/>
          <w:sz w:val="22"/>
          <w:szCs w:val="20"/>
          <w:lang w:val="en-GB"/>
        </w:rPr>
        <w:t>3</w:t>
      </w:r>
    </w:p>
    <w:p w14:paraId="3A7B9F35" w14:textId="565143AE"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 xml:space="preserve">Source: </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Lenovo</w:t>
      </w:r>
    </w:p>
    <w:p w14:paraId="396CAC10" w14:textId="1E99E850" w:rsidR="006F3844" w:rsidRPr="006F3844" w:rsidRDefault="006F3844" w:rsidP="006F3844">
      <w:pPr>
        <w:widowControl/>
        <w:tabs>
          <w:tab w:val="left" w:pos="1701"/>
          <w:tab w:val="right" w:pos="9639"/>
        </w:tabs>
        <w:overflowPunct w:val="0"/>
        <w:autoSpaceDE w:val="0"/>
        <w:autoSpaceDN w:val="0"/>
        <w:adjustRightInd w:val="0"/>
        <w:spacing w:after="240"/>
        <w:ind w:left="3865" w:hangingChars="1750" w:hanging="3865"/>
        <w:textAlignment w:val="baseline"/>
        <w:rPr>
          <w:rFonts w:ascii="Arial" w:hAnsi="Arial" w:cs="Times New Roman"/>
          <w:b/>
          <w:bCs/>
          <w:kern w:val="0"/>
          <w:sz w:val="22"/>
          <w:szCs w:val="20"/>
          <w:lang w:val="en-GB"/>
        </w:rPr>
      </w:pPr>
      <w:r w:rsidRPr="00733434">
        <w:rPr>
          <w:rFonts w:ascii="Arial" w:eastAsia="宋体" w:hAnsi="Arial" w:cs="Times New Roman"/>
          <w:b/>
          <w:bCs/>
          <w:kern w:val="0"/>
          <w:sz w:val="22"/>
          <w:szCs w:val="20"/>
          <w:lang w:val="en-GB"/>
        </w:rPr>
        <w:t xml:space="preserve">Title: </w:t>
      </w:r>
      <w:r w:rsidRPr="00733434">
        <w:rPr>
          <w:rFonts w:ascii="Arial" w:eastAsia="宋体" w:hAnsi="Arial" w:cs="Times New Roman"/>
          <w:b/>
          <w:bCs/>
          <w:kern w:val="0"/>
          <w:sz w:val="22"/>
          <w:szCs w:val="20"/>
          <w:lang w:val="en-GB"/>
        </w:rPr>
        <w:tab/>
      </w:r>
      <w:r w:rsidR="00A96D24" w:rsidRPr="00A96D24">
        <w:rPr>
          <w:rFonts w:ascii="Arial" w:eastAsia="宋体" w:hAnsi="Arial" w:cs="Times New Roman"/>
          <w:b/>
          <w:bCs/>
          <w:kern w:val="0"/>
          <w:sz w:val="22"/>
          <w:szCs w:val="20"/>
          <w:lang w:val="en-GB"/>
        </w:rPr>
        <w:t>Discussion on inter-donor full migration of mobile IAB</w:t>
      </w:r>
    </w:p>
    <w:p w14:paraId="586F74AD" w14:textId="77777777" w:rsidR="00AA3FAE" w:rsidRPr="000B09C9"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bCs/>
          <w:kern w:val="0"/>
          <w:sz w:val="22"/>
          <w:szCs w:val="20"/>
          <w:lang w:val="en-GB"/>
        </w:rPr>
      </w:pPr>
      <w:r w:rsidRPr="00733434">
        <w:rPr>
          <w:rFonts w:ascii="Arial" w:eastAsia="宋体" w:hAnsi="Arial" w:cs="Times New Roman"/>
          <w:b/>
          <w:bCs/>
          <w:kern w:val="0"/>
          <w:sz w:val="22"/>
          <w:szCs w:val="20"/>
          <w:lang w:val="en-GB"/>
        </w:rPr>
        <w:t>Document for:</w:t>
      </w:r>
      <w:r w:rsidRPr="00733434">
        <w:rPr>
          <w:rFonts w:ascii="Arial" w:eastAsia="宋体" w:hAnsi="Arial" w:cs="Times New Roman"/>
          <w:b/>
          <w:bCs/>
          <w:kern w:val="0"/>
          <w:sz w:val="22"/>
          <w:szCs w:val="20"/>
          <w:lang w:val="en-GB"/>
        </w:rPr>
        <w:tab/>
      </w:r>
      <w:r w:rsidRPr="000B09C9">
        <w:rPr>
          <w:rFonts w:ascii="Arial" w:eastAsia="宋体" w:hAnsi="Arial" w:cs="Times New Roman"/>
          <w:b/>
          <w:bCs/>
          <w:kern w:val="0"/>
          <w:sz w:val="22"/>
          <w:szCs w:val="20"/>
          <w:lang w:val="en-GB"/>
        </w:rPr>
        <w:t>Discussion and decision</w:t>
      </w:r>
    </w:p>
    <w:p w14:paraId="46DBFDB8" w14:textId="10C31FE6" w:rsidR="00AA3FAE" w:rsidRPr="000D2B2B" w:rsidRDefault="00AA3FAE" w:rsidP="000D2B2B">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0D2B2B">
        <w:rPr>
          <w:rFonts w:ascii="Arial" w:eastAsia="Dotum" w:hAnsi="Arial" w:cs="Times New Roman"/>
          <w:kern w:val="0"/>
          <w:sz w:val="36"/>
          <w:szCs w:val="36"/>
          <w:lang w:val="en-GB"/>
        </w:rPr>
        <w:t>Introduction</w:t>
      </w:r>
      <w:bookmarkStart w:id="0" w:name="_Ref174151459"/>
      <w:bookmarkStart w:id="1" w:name="_Ref189809556"/>
    </w:p>
    <w:p w14:paraId="0B56E0A4" w14:textId="77777777" w:rsidR="00A61DF4" w:rsidRDefault="00A61DF4" w:rsidP="00A61DF4">
      <w:pPr>
        <w:widowControl/>
        <w:overflowPunct w:val="0"/>
        <w:autoSpaceDE w:val="0"/>
        <w:autoSpaceDN w:val="0"/>
        <w:adjustRightInd w:val="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A new WID for mobile IAB-node [1] has been approved to be discussed in Rel-</w:t>
      </w:r>
      <w:proofErr w:type="gramStart"/>
      <w:r>
        <w:rPr>
          <w:rFonts w:ascii="Times New Roman" w:eastAsia="宋体" w:hAnsi="Times New Roman" w:cs="Times New Roman"/>
          <w:kern w:val="0"/>
          <w:sz w:val="20"/>
          <w:szCs w:val="20"/>
        </w:rPr>
        <w:t>18, and</w:t>
      </w:r>
      <w:proofErr w:type="gramEnd"/>
      <w:r>
        <w:rPr>
          <w:rFonts w:ascii="Times New Roman" w:eastAsia="宋体" w:hAnsi="Times New Roman" w:cs="Times New Roman"/>
          <w:kern w:val="0"/>
          <w:sz w:val="20"/>
          <w:szCs w:val="20"/>
        </w:rPr>
        <w:t xml:space="preserve"> following detail objectives are identified mainly focus on RAN3 and RAN2.</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A61DF4" w14:paraId="059CB986" w14:textId="77777777" w:rsidTr="00F32368">
        <w:trPr>
          <w:trHeight w:val="1266"/>
        </w:trPr>
        <w:tc>
          <w:tcPr>
            <w:tcW w:w="9670" w:type="dxa"/>
          </w:tcPr>
          <w:p w14:paraId="010D94E4" w14:textId="77777777" w:rsidR="003576A0" w:rsidRPr="003576A0" w:rsidRDefault="003576A0" w:rsidP="003576A0">
            <w:pPr>
              <w:widowControl/>
              <w:numPr>
                <w:ilvl w:val="0"/>
                <w:numId w:val="16"/>
              </w:numPr>
              <w:spacing w:before="60" w:after="60"/>
              <w:rPr>
                <w:rFonts w:ascii="Times New Roman" w:eastAsia="Times New Roman" w:hAnsi="Times New Roman" w:cs="Times New Roman"/>
                <w:kern w:val="0"/>
                <w:sz w:val="20"/>
                <w:szCs w:val="20"/>
                <w:lang w:val="en-GB" w:eastAsia="en-US"/>
              </w:rPr>
            </w:pPr>
            <w:r w:rsidRPr="003576A0">
              <w:rPr>
                <w:rFonts w:ascii="Times New Roman" w:eastAsia="Times New Roman" w:hAnsi="Times New Roman" w:cs="Times New Roman"/>
                <w:kern w:val="0"/>
                <w:sz w:val="20"/>
                <w:szCs w:val="20"/>
                <w:lang w:val="en-GB" w:eastAsia="en-US"/>
              </w:rPr>
              <w:t>Define Procedures for migration/topology adaptation to enable IAB-node mobility, including inter-donor migration of the entire mobile IAB-node (full migration) [RAN3, RAN2]</w:t>
            </w:r>
          </w:p>
          <w:p w14:paraId="01158D2E" w14:textId="77777777" w:rsidR="003576A0" w:rsidRPr="003576A0" w:rsidRDefault="003576A0" w:rsidP="003576A0">
            <w:pPr>
              <w:widowControl/>
              <w:numPr>
                <w:ilvl w:val="1"/>
                <w:numId w:val="16"/>
              </w:numPr>
              <w:spacing w:before="60" w:after="60"/>
              <w:rPr>
                <w:rFonts w:ascii="Times New Roman" w:eastAsia="Times New Roman" w:hAnsi="Times New Roman" w:cs="Times New Roman"/>
                <w:kern w:val="0"/>
                <w:sz w:val="20"/>
                <w:szCs w:val="20"/>
                <w:lang w:val="en-GB" w:eastAsia="en-US"/>
              </w:rPr>
            </w:pPr>
            <w:r w:rsidRPr="003576A0">
              <w:rPr>
                <w:rFonts w:ascii="Times New Roman" w:eastAsia="Times New Roman" w:hAnsi="Times New Roman" w:cs="Times New Roman"/>
                <w:kern w:val="0"/>
                <w:sz w:val="20"/>
                <w:szCs w:val="20"/>
                <w:lang w:val="en-GB"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32D5C07B" w14:textId="77777777" w:rsidR="003576A0" w:rsidRPr="003576A0" w:rsidRDefault="003576A0" w:rsidP="003576A0">
            <w:pPr>
              <w:widowControl/>
              <w:numPr>
                <w:ilvl w:val="1"/>
                <w:numId w:val="16"/>
              </w:numPr>
              <w:spacing w:before="60" w:after="60"/>
              <w:rPr>
                <w:rFonts w:ascii="Times New Roman" w:eastAsia="Times New Roman" w:hAnsi="Times New Roman" w:cs="Times New Roman"/>
                <w:kern w:val="0"/>
                <w:sz w:val="20"/>
                <w:szCs w:val="20"/>
                <w:lang w:val="en-GB" w:eastAsia="en-US"/>
              </w:rPr>
            </w:pPr>
            <w:r w:rsidRPr="003576A0">
              <w:rPr>
                <w:rFonts w:ascii="Times New Roman" w:eastAsia="Times New Roman" w:hAnsi="Times New Roman" w:cs="Times New Roman"/>
                <w:kern w:val="0"/>
                <w:sz w:val="20"/>
                <w:szCs w:val="20"/>
                <w:lang w:val="en-GB" w:eastAsia="en-US"/>
              </w:rPr>
              <w:t>The mobility of dual-connected IAB-nodes is down-prioritized.</w:t>
            </w:r>
          </w:p>
          <w:p w14:paraId="4D45F873" w14:textId="77777777" w:rsidR="003576A0" w:rsidRPr="003576A0" w:rsidRDefault="003576A0" w:rsidP="003576A0">
            <w:pPr>
              <w:widowControl/>
              <w:numPr>
                <w:ilvl w:val="0"/>
                <w:numId w:val="16"/>
              </w:numPr>
              <w:spacing w:before="60" w:after="60"/>
              <w:rPr>
                <w:rFonts w:ascii="Times New Roman" w:eastAsia="Times New Roman" w:hAnsi="Times New Roman" w:cs="Times New Roman"/>
                <w:kern w:val="0"/>
                <w:sz w:val="20"/>
                <w:szCs w:val="20"/>
                <w:lang w:val="en-GB" w:eastAsia="en-US"/>
              </w:rPr>
            </w:pPr>
            <w:r w:rsidRPr="003576A0">
              <w:rPr>
                <w:rFonts w:ascii="Times New Roman" w:eastAsia="Times New Roman" w:hAnsi="Times New Roman" w:cs="Times New Roman"/>
                <w:kern w:val="0"/>
                <w:sz w:val="20"/>
                <w:szCs w:val="20"/>
                <w:lang w:val="en-GB" w:eastAsia="en-US"/>
              </w:rPr>
              <w:t xml:space="preserve">Enhancements for mobility of an IAB-node together with </w:t>
            </w:r>
            <w:proofErr w:type="gramStart"/>
            <w:r w:rsidRPr="003576A0">
              <w:rPr>
                <w:rFonts w:ascii="Times New Roman" w:eastAsia="Times New Roman" w:hAnsi="Times New Roman" w:cs="Times New Roman"/>
                <w:kern w:val="0"/>
                <w:sz w:val="20"/>
                <w:szCs w:val="20"/>
                <w:lang w:val="en-GB" w:eastAsia="en-US"/>
              </w:rPr>
              <w:t>its</w:t>
            </w:r>
            <w:proofErr w:type="gramEnd"/>
            <w:r w:rsidRPr="003576A0">
              <w:rPr>
                <w:rFonts w:ascii="Times New Roman" w:eastAsia="Times New Roman" w:hAnsi="Times New Roman" w:cs="Times New Roman"/>
                <w:kern w:val="0"/>
                <w:sz w:val="20"/>
                <w:szCs w:val="20"/>
                <w:lang w:val="en-GB" w:eastAsia="en-US"/>
              </w:rPr>
              <w:t xml:space="preserve"> served UEs, including aspects related to group mobility. No optimizations for the targeting of surrounding UEs. [RAN3, RAN2]</w:t>
            </w:r>
          </w:p>
          <w:p w14:paraId="10592318" w14:textId="77777777" w:rsidR="003576A0" w:rsidRPr="003576A0" w:rsidRDefault="003576A0" w:rsidP="003576A0">
            <w:pPr>
              <w:widowControl/>
              <w:spacing w:before="60" w:after="60"/>
              <w:ind w:left="720"/>
              <w:rPr>
                <w:rFonts w:ascii="Times New Roman" w:eastAsia="Times New Roman" w:hAnsi="Times New Roman" w:cs="Times New Roman"/>
                <w:i/>
                <w:iCs/>
                <w:kern w:val="0"/>
                <w:sz w:val="20"/>
                <w:szCs w:val="20"/>
                <w:lang w:val="en-GB" w:eastAsia="en-US"/>
              </w:rPr>
            </w:pPr>
            <w:r w:rsidRPr="003576A0">
              <w:rPr>
                <w:rFonts w:ascii="Times New Roman" w:eastAsia="Times New Roman" w:hAnsi="Times New Roman" w:cs="Times New Roman"/>
                <w:i/>
                <w:iCs/>
                <w:kern w:val="0"/>
                <w:sz w:val="20"/>
                <w:szCs w:val="20"/>
                <w:lang w:val="en-GB" w:eastAsia="en-US"/>
              </w:rPr>
              <w:t>Note: Solutions should avoid touching upon topics where Rel-17 discussions already occurred and where the topic was excluded from Rel-17, except for enhancements that are specific to IAB-node mobility.</w:t>
            </w:r>
          </w:p>
          <w:p w14:paraId="1C6263D6" w14:textId="20431A37" w:rsidR="003576A0" w:rsidRPr="003576A0" w:rsidRDefault="003576A0" w:rsidP="00F32368">
            <w:pPr>
              <w:widowControl/>
              <w:numPr>
                <w:ilvl w:val="0"/>
                <w:numId w:val="16"/>
              </w:numPr>
              <w:spacing w:before="60" w:after="60"/>
              <w:rPr>
                <w:rFonts w:ascii="Times New Roman" w:eastAsia="Times New Roman" w:hAnsi="Times New Roman" w:cs="Times New Roman"/>
                <w:kern w:val="0"/>
                <w:sz w:val="20"/>
                <w:szCs w:val="20"/>
                <w:lang w:val="en-GB" w:eastAsia="en-US"/>
              </w:rPr>
            </w:pPr>
            <w:r w:rsidRPr="003576A0">
              <w:rPr>
                <w:rFonts w:ascii="Times New Roman" w:eastAsia="Times New Roman" w:hAnsi="Times New Roman" w:cs="Times New Roman"/>
                <w:kern w:val="0"/>
                <w:sz w:val="20"/>
                <w:szCs w:val="20"/>
                <w:lang w:val="en-GB" w:eastAsia="en-US"/>
              </w:rPr>
              <w:t>Mitigation of interference due to IAB-node mobility, including the avoidance of potential reference and control signal collisions (</w:t>
            </w:r>
            <w:proofErr w:type="gramStart"/>
            <w:r w:rsidRPr="003576A0">
              <w:rPr>
                <w:rFonts w:ascii="Times New Roman" w:eastAsia="Times New Roman" w:hAnsi="Times New Roman" w:cs="Times New Roman"/>
                <w:kern w:val="0"/>
                <w:sz w:val="20"/>
                <w:szCs w:val="20"/>
                <w:lang w:val="en-GB" w:eastAsia="en-US"/>
              </w:rPr>
              <w:t>e.g.</w:t>
            </w:r>
            <w:proofErr w:type="gramEnd"/>
            <w:r w:rsidRPr="003576A0">
              <w:rPr>
                <w:rFonts w:ascii="Times New Roman" w:eastAsia="Times New Roman" w:hAnsi="Times New Roman" w:cs="Times New Roman"/>
                <w:kern w:val="0"/>
                <w:sz w:val="20"/>
                <w:szCs w:val="20"/>
                <w:lang w:val="en-GB" w:eastAsia="en-US"/>
              </w:rPr>
              <w:t xml:space="preserve"> PCI, RACH). [RAN3, RAN2]</w:t>
            </w:r>
          </w:p>
        </w:tc>
      </w:tr>
    </w:tbl>
    <w:p w14:paraId="0B940363" w14:textId="71EC2156" w:rsidR="00A61DF4" w:rsidRDefault="00A61DF4" w:rsidP="00A61DF4">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enhancement for </w:t>
      </w:r>
      <w:bookmarkStart w:id="2" w:name="OLE_LINK8"/>
      <w:r>
        <w:rPr>
          <w:rFonts w:ascii="Times New Roman" w:eastAsia="宋体" w:hAnsi="Times New Roman" w:cs="Times New Roman"/>
          <w:kern w:val="0"/>
          <w:sz w:val="20"/>
          <w:szCs w:val="20"/>
        </w:rPr>
        <w:t>mobile IAB-node mobility</w:t>
      </w:r>
      <w:bookmarkEnd w:id="2"/>
      <w:r>
        <w:rPr>
          <w:rFonts w:ascii="Times New Roman" w:eastAsia="宋体" w:hAnsi="Times New Roman" w:cs="Times New Roman"/>
          <w:kern w:val="0"/>
          <w:sz w:val="20"/>
          <w:szCs w:val="20"/>
        </w:rPr>
        <w:t xml:space="preserve"> is discussed, including </w:t>
      </w:r>
      <w:r w:rsidRPr="006E5566">
        <w:rPr>
          <w:rFonts w:ascii="Times New Roman" w:eastAsia="宋体" w:hAnsi="Times New Roman" w:cs="Times New Roman"/>
          <w:kern w:val="0"/>
          <w:sz w:val="20"/>
          <w:szCs w:val="20"/>
        </w:rPr>
        <w:t xml:space="preserve">aspects related to </w:t>
      </w:r>
      <w:r w:rsidR="005D39F4">
        <w:rPr>
          <w:rFonts w:ascii="Times New Roman" w:eastAsia="宋体" w:hAnsi="Times New Roman" w:cs="Times New Roman"/>
          <w:kern w:val="0"/>
          <w:sz w:val="20"/>
          <w:szCs w:val="20"/>
        </w:rPr>
        <w:t>procedure of inter-donor full migration and interference mitigation due to mobile IAB-node mobility</w:t>
      </w:r>
      <w:r>
        <w:rPr>
          <w:rFonts w:ascii="Times New Roman" w:eastAsia="宋体" w:hAnsi="Times New Roman" w:cs="Times New Roman"/>
          <w:kern w:val="0"/>
          <w:sz w:val="20"/>
          <w:szCs w:val="20"/>
        </w:rPr>
        <w:t>.</w:t>
      </w:r>
      <w:r w:rsidR="005D39F4">
        <w:rPr>
          <w:rFonts w:ascii="Times New Roman" w:eastAsia="宋体" w:hAnsi="Times New Roman" w:cs="Times New Roman"/>
          <w:kern w:val="0"/>
          <w:sz w:val="20"/>
          <w:szCs w:val="20"/>
        </w:rPr>
        <w:t xml:space="preserve"> </w:t>
      </w:r>
    </w:p>
    <w:p w14:paraId="47F0D14A" w14:textId="270B1293" w:rsidR="00AA3FAE" w:rsidRPr="001119CE" w:rsidRDefault="00AA3FAE" w:rsidP="001119CE">
      <w:pPr>
        <w:pStyle w:val="ac"/>
        <w:keepNext/>
        <w:keepLines/>
        <w:widowControl/>
        <w:numPr>
          <w:ilvl w:val="0"/>
          <w:numId w:val="5"/>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1119CE">
        <w:rPr>
          <w:rFonts w:ascii="Arial" w:eastAsia="宋体" w:hAnsi="Arial" w:cs="Times New Roman"/>
          <w:kern w:val="0"/>
          <w:sz w:val="36"/>
          <w:szCs w:val="36"/>
          <w:lang w:val="en-GB"/>
        </w:rPr>
        <w:t>Discussion</w:t>
      </w:r>
    </w:p>
    <w:p w14:paraId="1AB433D3" w14:textId="5FC74923" w:rsidR="007276AF" w:rsidRDefault="007276AF" w:rsidP="00D45139">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hint="eastAsia"/>
          <w:b/>
          <w:bCs/>
          <w:kern w:val="0"/>
          <w:sz w:val="22"/>
          <w:u w:val="single"/>
        </w:rPr>
        <w:t>D</w:t>
      </w:r>
      <w:r>
        <w:rPr>
          <w:rFonts w:ascii="Times New Roman" w:eastAsia="宋体" w:hAnsi="Times New Roman" w:cs="Times New Roman"/>
          <w:b/>
          <w:bCs/>
          <w:kern w:val="0"/>
          <w:sz w:val="22"/>
          <w:u w:val="single"/>
        </w:rPr>
        <w:t>ual logical IAB-DU</w:t>
      </w:r>
      <w:r w:rsidR="006E214A">
        <w:rPr>
          <w:rFonts w:ascii="Times New Roman" w:eastAsia="宋体" w:hAnsi="Times New Roman" w:cs="Times New Roman"/>
          <w:b/>
          <w:bCs/>
          <w:kern w:val="0"/>
          <w:sz w:val="22"/>
          <w:u w:val="single"/>
        </w:rPr>
        <w:t>s</w:t>
      </w:r>
      <w:r>
        <w:rPr>
          <w:rFonts w:ascii="Times New Roman" w:eastAsia="宋体" w:hAnsi="Times New Roman" w:cs="Times New Roman"/>
          <w:b/>
          <w:bCs/>
          <w:kern w:val="0"/>
          <w:sz w:val="22"/>
          <w:u w:val="single"/>
        </w:rPr>
        <w:t xml:space="preserve"> of the mobile IAB-node</w:t>
      </w:r>
    </w:p>
    <w:p w14:paraId="2F1390C0" w14:textId="02F712CA" w:rsidR="006E214A" w:rsidRPr="006E214A" w:rsidRDefault="00404FF6" w:rsidP="00D13CE2">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s shown in Figure 1, for the mobile IAB-node inter-donor full migration, the IAB-MT of mobile IAB-node migrates from source IAB-donor1 to target IAB-donor2, and the mobile IAB-node has two logical IAB-DUs that IAB-DU1 terminate</w:t>
      </w:r>
      <w:r w:rsidR="00CB1A56">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 xml:space="preserve"> at IAB-donor-CU1 and IAB-DU2 terminate</w:t>
      </w:r>
      <w:r w:rsidR="00CB1A56">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at IAB-donor-CU2. </w:t>
      </w:r>
      <w:r w:rsidR="00E1270E">
        <w:rPr>
          <w:rFonts w:ascii="Times New Roman" w:eastAsia="宋体" w:hAnsi="Times New Roman" w:cs="Times New Roman"/>
          <w:kern w:val="0"/>
          <w:sz w:val="20"/>
          <w:szCs w:val="20"/>
        </w:rPr>
        <w:t>Because two logical IAB-DUs (IAB-DU1 and IAB-DU2) can be activated at the same time during the full migration (or inter-donor mobile IAB-DU migration), the BAP modeling specified in R16 and R17 [</w:t>
      </w:r>
      <w:r w:rsidR="007A2FD1">
        <w:rPr>
          <w:rFonts w:ascii="Times New Roman" w:eastAsia="宋体" w:hAnsi="Times New Roman" w:cs="Times New Roman"/>
          <w:kern w:val="0"/>
          <w:sz w:val="20"/>
          <w:szCs w:val="20"/>
        </w:rPr>
        <w:t>2</w:t>
      </w:r>
      <w:r w:rsidR="00E1270E">
        <w:rPr>
          <w:rFonts w:ascii="Times New Roman" w:eastAsia="宋体" w:hAnsi="Times New Roman" w:cs="Times New Roman"/>
          <w:kern w:val="0"/>
          <w:sz w:val="20"/>
          <w:szCs w:val="20"/>
        </w:rPr>
        <w:t xml:space="preserve">] as follow is </w:t>
      </w:r>
      <w:r w:rsidR="00E1270E" w:rsidRPr="005A768A">
        <w:rPr>
          <w:rFonts w:ascii="Times New Roman" w:eastAsia="宋体" w:hAnsi="Times New Roman" w:cs="Times New Roman"/>
          <w:kern w:val="0"/>
          <w:sz w:val="20"/>
          <w:szCs w:val="20"/>
        </w:rPr>
        <w:t>inapplicable</w:t>
      </w:r>
      <w:r w:rsidR="00E1270E">
        <w:rPr>
          <w:rFonts w:ascii="Times New Roman" w:eastAsia="宋体" w:hAnsi="Times New Roman" w:cs="Times New Roman"/>
          <w:kern w:val="0"/>
          <w:sz w:val="20"/>
          <w:szCs w:val="20"/>
        </w:rPr>
        <w:t xml:space="preserve"> now for the mobile IAB-node with two logical IAB-DUs.</w:t>
      </w:r>
    </w:p>
    <w:p w14:paraId="0B1020E3" w14:textId="129FADD7" w:rsidR="00404FF6" w:rsidRDefault="001D12CB" w:rsidP="00404FF6">
      <w:pPr>
        <w:widowControl/>
        <w:overflowPunct w:val="0"/>
        <w:autoSpaceDE w:val="0"/>
        <w:autoSpaceDN w:val="0"/>
        <w:adjustRightInd w:val="0"/>
        <w:spacing w:after="120"/>
        <w:jc w:val="center"/>
        <w:textAlignment w:val="baseline"/>
      </w:pPr>
      <w:r>
        <w:object w:dxaOrig="5301" w:dyaOrig="3931" w14:anchorId="525B1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5pt;height:125.5pt" o:ole="">
            <v:imagedata r:id="rId8" o:title=""/>
          </v:shape>
          <o:OLEObject Type="Embed" ProgID="Visio.Drawing.15" ShapeID="_x0000_i1025" DrawAspect="Content" ObjectID="_1729059258" r:id="rId9"/>
        </w:object>
      </w:r>
    </w:p>
    <w:p w14:paraId="04CA49EF" w14:textId="40002C8B" w:rsidR="00404FF6" w:rsidRPr="005750E7" w:rsidRDefault="00404FF6" w:rsidP="00404FF6">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sidRPr="001C3355">
        <w:rPr>
          <w:rFonts w:ascii="Times New Roman" w:hAnsi="Times New Roman" w:cs="Times New Roman"/>
          <w:sz w:val="20"/>
          <w:szCs w:val="20"/>
        </w:rPr>
        <w:t xml:space="preserve">Figure </w:t>
      </w:r>
      <w:r>
        <w:rPr>
          <w:rFonts w:ascii="Times New Roman" w:hAnsi="Times New Roman" w:cs="Times New Roman"/>
          <w:sz w:val="20"/>
          <w:szCs w:val="20"/>
        </w:rPr>
        <w:t>1</w:t>
      </w:r>
      <w:r w:rsidRPr="001C3355">
        <w:rPr>
          <w:rFonts w:ascii="Times New Roman" w:hAnsi="Times New Roman" w:cs="Times New Roman"/>
          <w:sz w:val="20"/>
          <w:szCs w:val="20"/>
        </w:rPr>
        <w:t xml:space="preserve">. Example of </w:t>
      </w:r>
      <w:r>
        <w:rPr>
          <w:rFonts w:ascii="Times New Roman" w:hAnsi="Times New Roman" w:cs="Times New Roman"/>
          <w:sz w:val="20"/>
          <w:szCs w:val="20"/>
        </w:rPr>
        <w:t>inter-donor migration of mobile IAB-node and its served UE</w:t>
      </w:r>
    </w:p>
    <w:p w14:paraId="388E97E2" w14:textId="619212BC" w:rsidR="00BB0704" w:rsidRDefault="00BB0704" w:rsidP="005A768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p>
    <w:tbl>
      <w:tblPr>
        <w:tblW w:w="9683" w:type="dxa"/>
        <w:tblInd w:w="-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3"/>
      </w:tblGrid>
      <w:tr w:rsidR="001911F4" w14:paraId="04596E3F" w14:textId="77777777" w:rsidTr="007E1D08">
        <w:trPr>
          <w:trHeight w:val="270"/>
        </w:trPr>
        <w:tc>
          <w:tcPr>
            <w:tcW w:w="9683" w:type="dxa"/>
          </w:tcPr>
          <w:p w14:paraId="3B17C053" w14:textId="77777777" w:rsidR="001911F4" w:rsidRDefault="001911F4" w:rsidP="001911F4">
            <w:pPr>
              <w:pStyle w:val="3"/>
              <w:rPr>
                <w:rFonts w:cs="Arial"/>
                <w:lang w:eastAsia="zh-CN"/>
              </w:rPr>
            </w:pPr>
            <w:bookmarkStart w:id="3" w:name="_Toc100872948"/>
            <w:r>
              <w:rPr>
                <w:rFonts w:cs="Arial"/>
              </w:rPr>
              <w:lastRenderedPageBreak/>
              <w:t>5.2.</w:t>
            </w:r>
            <w:r>
              <w:rPr>
                <w:rFonts w:cs="Arial"/>
                <w:lang w:eastAsia="zh-CN"/>
              </w:rPr>
              <w:t>2</w:t>
            </w:r>
            <w:r>
              <w:rPr>
                <w:rFonts w:cs="Arial"/>
              </w:rPr>
              <w:tab/>
            </w:r>
            <w:r>
              <w:rPr>
                <w:rFonts w:cs="Arial"/>
                <w:lang w:eastAsia="zh-CN"/>
              </w:rPr>
              <w:t>Receiving operation</w:t>
            </w:r>
            <w:bookmarkEnd w:id="3"/>
          </w:p>
          <w:p w14:paraId="193A068D" w14:textId="77777777" w:rsidR="001911F4" w:rsidRPr="00A51FC3" w:rsidRDefault="001911F4" w:rsidP="001911F4">
            <w:pPr>
              <w:rPr>
                <w:rFonts w:ascii="Times New Roman" w:eastAsia="Times New Roman" w:hAnsi="Times New Roman" w:cs="Times New Roman"/>
                <w:kern w:val="0"/>
                <w:sz w:val="20"/>
                <w:szCs w:val="20"/>
                <w:lang w:val="en-GB" w:eastAsia="ja-JP"/>
              </w:rPr>
            </w:pPr>
            <w:r w:rsidRPr="00A51FC3">
              <w:rPr>
                <w:rFonts w:ascii="Times New Roman" w:eastAsia="Times New Roman" w:hAnsi="Times New Roman" w:cs="Times New Roman"/>
                <w:kern w:val="0"/>
                <w:sz w:val="20"/>
                <w:szCs w:val="20"/>
                <w:lang w:val="en-GB" w:eastAsia="ja-JP"/>
              </w:rPr>
              <w:t>Upon receiving a BAP Data PDU from lower layer (</w:t>
            </w:r>
            <w:proofErr w:type="gramStart"/>
            <w:r w:rsidRPr="00A51FC3">
              <w:rPr>
                <w:rFonts w:ascii="Times New Roman" w:eastAsia="Times New Roman" w:hAnsi="Times New Roman" w:cs="Times New Roman"/>
                <w:kern w:val="0"/>
                <w:sz w:val="20"/>
                <w:szCs w:val="20"/>
                <w:lang w:val="en-GB" w:eastAsia="ja-JP"/>
              </w:rPr>
              <w:t>i.e.</w:t>
            </w:r>
            <w:proofErr w:type="gramEnd"/>
            <w:r w:rsidRPr="00A51FC3">
              <w:rPr>
                <w:rFonts w:ascii="Times New Roman" w:eastAsia="Times New Roman" w:hAnsi="Times New Roman" w:cs="Times New Roman"/>
                <w:kern w:val="0"/>
                <w:sz w:val="20"/>
                <w:szCs w:val="20"/>
                <w:lang w:val="en-GB" w:eastAsia="ja-JP"/>
              </w:rPr>
              <w:t xml:space="preserve"> ingress BH RLC channel), the receiving part of the BAP entity shall:</w:t>
            </w:r>
          </w:p>
          <w:p w14:paraId="621A03E5" w14:textId="77777777" w:rsidR="001911F4" w:rsidRDefault="001911F4" w:rsidP="001911F4">
            <w:pPr>
              <w:pStyle w:val="B1"/>
            </w:pPr>
            <w:r>
              <w:t>-</w:t>
            </w:r>
            <w:r>
              <w:tab/>
              <w:t>if DESTINATION field of this BAP Data PDU matches the BAP address, which is configured for this node by the IAB-donor providing this ingress BH RLC channel configuration:</w:t>
            </w:r>
          </w:p>
          <w:p w14:paraId="1B145CA2" w14:textId="77777777" w:rsidR="001911F4" w:rsidRDefault="001911F4" w:rsidP="001911F4">
            <w:pPr>
              <w:pStyle w:val="B2"/>
            </w:pPr>
            <w:r>
              <w:rPr>
                <w:lang w:eastAsia="ko-KR"/>
              </w:rPr>
              <w:t>-</w:t>
            </w:r>
            <w:r>
              <w:rPr>
                <w:lang w:eastAsia="ko-KR"/>
              </w:rPr>
              <w:tab/>
            </w:r>
            <w:r>
              <w:t xml:space="preserve">remove the BAP header of this BAP Data PDU and deliver the BAP SDU to upper </w:t>
            </w:r>
            <w:proofErr w:type="gramStart"/>
            <w:r>
              <w:t>layers;</w:t>
            </w:r>
            <w:proofErr w:type="gramEnd"/>
          </w:p>
          <w:p w14:paraId="773270AA" w14:textId="77777777" w:rsidR="001911F4" w:rsidRDefault="001911F4" w:rsidP="001911F4">
            <w:pPr>
              <w:pStyle w:val="B1"/>
            </w:pPr>
            <w:r>
              <w:t>-</w:t>
            </w:r>
            <w:r>
              <w:tab/>
              <w:t>else:</w:t>
            </w:r>
          </w:p>
          <w:p w14:paraId="3337F25B" w14:textId="06FEFA24" w:rsidR="001911F4" w:rsidRPr="001911F4" w:rsidRDefault="001911F4" w:rsidP="001911F4">
            <w:pPr>
              <w:pStyle w:val="B2"/>
            </w:pPr>
            <w:r>
              <w:rPr>
                <w:lang w:eastAsia="ko-KR"/>
              </w:rPr>
              <w:t>-</w:t>
            </w:r>
            <w:r>
              <w:rPr>
                <w:lang w:eastAsia="ko-KR"/>
              </w:rPr>
              <w:tab/>
            </w:r>
            <w:r>
              <w:t xml:space="preserve">deliver the </w:t>
            </w:r>
            <w:r>
              <w:rPr>
                <w:lang w:eastAsia="zh-CN"/>
              </w:rPr>
              <w:t>BAP Data Packet</w:t>
            </w:r>
            <w:r>
              <w:t xml:space="preserve"> to the transmitting part of the collocated BAP entity.</w:t>
            </w:r>
          </w:p>
        </w:tc>
      </w:tr>
    </w:tbl>
    <w:p w14:paraId="30093859" w14:textId="5A6F9BD7" w:rsidR="00D45139" w:rsidRPr="00EC0046" w:rsidRDefault="00B073B4" w:rsidP="00C663F0">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DL transmission</w:t>
      </w:r>
      <w:r w:rsidR="00AD75AE">
        <w:rPr>
          <w:rFonts w:ascii="Times New Roman" w:eastAsia="宋体" w:hAnsi="Times New Roman" w:cs="Times New Roman"/>
          <w:kern w:val="0"/>
          <w:sz w:val="20"/>
          <w:szCs w:val="20"/>
        </w:rPr>
        <w:t xml:space="preserve"> of mobile IAB-node</w:t>
      </w:r>
      <w:r>
        <w:rPr>
          <w:rFonts w:ascii="Times New Roman" w:eastAsia="宋体" w:hAnsi="Times New Roman" w:cs="Times New Roman"/>
          <w:kern w:val="0"/>
          <w:sz w:val="20"/>
          <w:szCs w:val="20"/>
        </w:rPr>
        <w:t xml:space="preserve">, upon receiving </w:t>
      </w:r>
      <w:r w:rsidR="001911F4">
        <w:rPr>
          <w:rFonts w:ascii="Times New Roman" w:eastAsia="宋体" w:hAnsi="Times New Roman" w:cs="Times New Roman"/>
          <w:kern w:val="0"/>
          <w:sz w:val="20"/>
          <w:szCs w:val="20"/>
        </w:rPr>
        <w:t>a</w:t>
      </w:r>
      <w:r>
        <w:rPr>
          <w:rFonts w:ascii="Times New Roman" w:eastAsia="宋体" w:hAnsi="Times New Roman" w:cs="Times New Roman"/>
          <w:kern w:val="0"/>
          <w:sz w:val="20"/>
          <w:szCs w:val="20"/>
        </w:rPr>
        <w:t xml:space="preserve"> DL </w:t>
      </w:r>
      <w:r w:rsidR="001911F4" w:rsidRPr="001911F4">
        <w:rPr>
          <w:rFonts w:ascii="Times New Roman" w:eastAsia="宋体" w:hAnsi="Times New Roman" w:cs="Times New Roman"/>
          <w:kern w:val="0"/>
          <w:sz w:val="20"/>
          <w:szCs w:val="20"/>
        </w:rPr>
        <w:t>BAP Data PDU</w:t>
      </w:r>
      <w:r>
        <w:rPr>
          <w:rFonts w:ascii="Times New Roman" w:eastAsia="宋体" w:hAnsi="Times New Roman" w:cs="Times New Roman"/>
          <w:kern w:val="0"/>
          <w:sz w:val="20"/>
          <w:szCs w:val="20"/>
        </w:rPr>
        <w:t xml:space="preserve"> from IAB-donor-DU1 or IAB-donor-DU2 by mobile IAB-MT, </w:t>
      </w:r>
      <w:r w:rsidR="001911F4" w:rsidRPr="001911F4">
        <w:rPr>
          <w:rFonts w:ascii="Times New Roman" w:eastAsia="宋体" w:hAnsi="Times New Roman" w:cs="Times New Roman"/>
          <w:kern w:val="0"/>
          <w:sz w:val="20"/>
          <w:szCs w:val="20"/>
        </w:rPr>
        <w:t xml:space="preserve">BAP entity </w:t>
      </w:r>
      <w:r w:rsidR="001911F4">
        <w:rPr>
          <w:rFonts w:ascii="Times New Roman" w:eastAsia="宋体" w:hAnsi="Times New Roman" w:cs="Times New Roman"/>
          <w:kern w:val="0"/>
          <w:sz w:val="20"/>
          <w:szCs w:val="20"/>
        </w:rPr>
        <w:t>of</w:t>
      </w:r>
      <w:r>
        <w:rPr>
          <w:rFonts w:ascii="Times New Roman" w:eastAsia="宋体" w:hAnsi="Times New Roman" w:cs="Times New Roman"/>
          <w:kern w:val="0"/>
          <w:sz w:val="20"/>
          <w:szCs w:val="20"/>
        </w:rPr>
        <w:t xml:space="preserve"> mobile IAB-MT</w:t>
      </w:r>
      <w:r w:rsidR="001911F4">
        <w:rPr>
          <w:rFonts w:ascii="Times New Roman" w:eastAsia="宋体" w:hAnsi="Times New Roman" w:cs="Times New Roman"/>
          <w:kern w:val="0"/>
          <w:sz w:val="20"/>
          <w:szCs w:val="20"/>
        </w:rPr>
        <w:t xml:space="preserve"> shall</w:t>
      </w:r>
      <w:r>
        <w:rPr>
          <w:rFonts w:ascii="Times New Roman" w:eastAsia="宋体" w:hAnsi="Times New Roman" w:cs="Times New Roman"/>
          <w:kern w:val="0"/>
          <w:sz w:val="20"/>
          <w:szCs w:val="20"/>
        </w:rPr>
        <w:t xml:space="preserve"> </w:t>
      </w:r>
      <w:r w:rsidR="001911F4" w:rsidRPr="001911F4">
        <w:rPr>
          <w:rFonts w:ascii="Times New Roman" w:eastAsia="宋体" w:hAnsi="Times New Roman" w:cs="Times New Roman"/>
          <w:kern w:val="0"/>
          <w:sz w:val="20"/>
          <w:szCs w:val="20"/>
        </w:rPr>
        <w:t>remove the BAP header of this BAP Data PDU</w:t>
      </w:r>
      <w:r w:rsidR="001911F4">
        <w:rPr>
          <w:rFonts w:ascii="Times New Roman" w:eastAsia="宋体" w:hAnsi="Times New Roman" w:cs="Times New Roman"/>
          <w:kern w:val="0"/>
          <w:sz w:val="20"/>
          <w:szCs w:val="20"/>
        </w:rPr>
        <w:t xml:space="preserve"> </w:t>
      </w:r>
      <w:r w:rsidR="00AD75AE">
        <w:rPr>
          <w:rFonts w:ascii="Times New Roman" w:eastAsia="宋体" w:hAnsi="Times New Roman" w:cs="Times New Roman"/>
          <w:kern w:val="0"/>
          <w:sz w:val="20"/>
          <w:szCs w:val="20"/>
        </w:rPr>
        <w:t>since the mobile IAB-node has no descendant IAB-nodes and i</w:t>
      </w:r>
      <w:r w:rsidR="00236172">
        <w:rPr>
          <w:rFonts w:ascii="Times New Roman" w:eastAsia="宋体" w:hAnsi="Times New Roman" w:cs="Times New Roman"/>
          <w:kern w:val="0"/>
          <w:sz w:val="20"/>
          <w:szCs w:val="20"/>
        </w:rPr>
        <w:t>t’</w:t>
      </w:r>
      <w:r w:rsidR="00AD75AE">
        <w:rPr>
          <w:rFonts w:ascii="Times New Roman" w:eastAsia="宋体" w:hAnsi="Times New Roman" w:cs="Times New Roman"/>
          <w:kern w:val="0"/>
          <w:sz w:val="20"/>
          <w:szCs w:val="20"/>
        </w:rPr>
        <w:t xml:space="preserve">s the destination node on the BH </w:t>
      </w:r>
      <w:r w:rsidR="003922D6">
        <w:rPr>
          <w:rFonts w:ascii="Times New Roman" w:eastAsia="宋体" w:hAnsi="Times New Roman" w:cs="Times New Roman"/>
          <w:kern w:val="0"/>
          <w:sz w:val="20"/>
          <w:szCs w:val="20"/>
        </w:rPr>
        <w:t>link</w:t>
      </w:r>
      <w:r w:rsidR="00EE4061">
        <w:rPr>
          <w:rFonts w:ascii="Times New Roman" w:eastAsia="宋体" w:hAnsi="Times New Roman" w:cs="Times New Roman"/>
          <w:kern w:val="0"/>
          <w:sz w:val="20"/>
          <w:szCs w:val="20"/>
        </w:rPr>
        <w:t>.</w:t>
      </w:r>
      <w:r w:rsidR="003922D6">
        <w:rPr>
          <w:rFonts w:ascii="Times New Roman" w:eastAsia="宋体" w:hAnsi="Times New Roman" w:cs="Times New Roman"/>
          <w:kern w:val="0"/>
          <w:sz w:val="20"/>
          <w:szCs w:val="20"/>
        </w:rPr>
        <w:t xml:space="preserve"> </w:t>
      </w:r>
      <w:r w:rsidR="00EE4061">
        <w:rPr>
          <w:rFonts w:ascii="Times New Roman" w:eastAsia="宋体" w:hAnsi="Times New Roman" w:cs="Times New Roman"/>
          <w:kern w:val="0"/>
          <w:sz w:val="20"/>
          <w:szCs w:val="20"/>
        </w:rPr>
        <w:t>A</w:t>
      </w:r>
      <w:r w:rsidR="003922D6">
        <w:rPr>
          <w:rFonts w:ascii="Times New Roman" w:eastAsia="宋体" w:hAnsi="Times New Roman" w:cs="Times New Roman"/>
          <w:kern w:val="0"/>
          <w:sz w:val="20"/>
          <w:szCs w:val="20"/>
        </w:rPr>
        <w:t>nd the BAP entity of mobile IAB-MT</w:t>
      </w:r>
      <w:r w:rsidR="001911F4">
        <w:rPr>
          <w:rFonts w:ascii="Times New Roman" w:eastAsia="宋体" w:hAnsi="Times New Roman" w:cs="Times New Roman"/>
          <w:kern w:val="0"/>
          <w:sz w:val="20"/>
          <w:szCs w:val="20"/>
        </w:rPr>
        <w:t xml:space="preserve"> </w:t>
      </w:r>
      <w:r w:rsidR="001911F4" w:rsidRPr="001911F4">
        <w:rPr>
          <w:rFonts w:ascii="Times New Roman" w:eastAsia="宋体" w:hAnsi="Times New Roman" w:cs="Times New Roman"/>
          <w:kern w:val="0"/>
          <w:sz w:val="20"/>
          <w:szCs w:val="20"/>
        </w:rPr>
        <w:t>deliver</w:t>
      </w:r>
      <w:r w:rsidR="003922D6">
        <w:rPr>
          <w:rFonts w:ascii="Times New Roman" w:eastAsia="宋体" w:hAnsi="Times New Roman" w:cs="Times New Roman"/>
          <w:kern w:val="0"/>
          <w:sz w:val="20"/>
          <w:szCs w:val="20"/>
        </w:rPr>
        <w:t>s</w:t>
      </w:r>
      <w:r w:rsidR="001911F4" w:rsidRPr="001911F4">
        <w:rPr>
          <w:rFonts w:ascii="Times New Roman" w:eastAsia="宋体" w:hAnsi="Times New Roman" w:cs="Times New Roman"/>
          <w:kern w:val="0"/>
          <w:sz w:val="20"/>
          <w:szCs w:val="20"/>
        </w:rPr>
        <w:t xml:space="preserve"> the BAP SDU to</w:t>
      </w:r>
      <w:r w:rsidR="001911F4">
        <w:rPr>
          <w:rFonts w:ascii="Times New Roman" w:eastAsia="宋体" w:hAnsi="Times New Roman" w:cs="Times New Roman"/>
          <w:kern w:val="0"/>
          <w:sz w:val="20"/>
          <w:szCs w:val="20"/>
        </w:rPr>
        <w:t xml:space="preserve"> upper layer </w:t>
      </w:r>
      <w:r w:rsidR="00AD75AE">
        <w:rPr>
          <w:rFonts w:ascii="Times New Roman" w:eastAsia="宋体" w:hAnsi="Times New Roman" w:cs="Times New Roman"/>
          <w:kern w:val="0"/>
          <w:sz w:val="20"/>
          <w:szCs w:val="20"/>
        </w:rPr>
        <w:t>of IAB-DU1 or IAB-DU2</w:t>
      </w:r>
      <w:r w:rsidR="00EE4061">
        <w:rPr>
          <w:rFonts w:ascii="Times New Roman" w:eastAsia="宋体" w:hAnsi="Times New Roman" w:cs="Times New Roman"/>
          <w:kern w:val="0"/>
          <w:sz w:val="20"/>
          <w:szCs w:val="20"/>
        </w:rPr>
        <w:t xml:space="preserve">. For the BAP entity of mobile IAB-node, </w:t>
      </w:r>
      <w:r w:rsidR="007C0DD9">
        <w:rPr>
          <w:rFonts w:ascii="Times New Roman" w:eastAsia="宋体" w:hAnsi="Times New Roman" w:cs="Times New Roman"/>
          <w:kern w:val="0"/>
          <w:sz w:val="20"/>
          <w:szCs w:val="20"/>
        </w:rPr>
        <w:t>it needs differentiate the DL traffic from IAB-donor1 or IAB-donor</w:t>
      </w:r>
      <w:r w:rsidR="00236172">
        <w:rPr>
          <w:rFonts w:ascii="Times New Roman" w:eastAsia="宋体" w:hAnsi="Times New Roman" w:cs="Times New Roman"/>
          <w:kern w:val="0"/>
          <w:sz w:val="20"/>
          <w:szCs w:val="20"/>
        </w:rPr>
        <w:t>2</w:t>
      </w:r>
      <w:r w:rsidR="007C0DD9">
        <w:rPr>
          <w:rFonts w:ascii="Times New Roman" w:eastAsia="宋体" w:hAnsi="Times New Roman" w:cs="Times New Roman"/>
          <w:kern w:val="0"/>
          <w:sz w:val="20"/>
          <w:szCs w:val="20"/>
        </w:rPr>
        <w:t xml:space="preserve"> then it can deliver the DL traffic to the right logical IAB-DU. </w:t>
      </w:r>
      <w:r w:rsidR="00971E58">
        <w:rPr>
          <w:rFonts w:ascii="Times New Roman" w:eastAsia="宋体" w:hAnsi="Times New Roman" w:cs="Times New Roman"/>
          <w:kern w:val="0"/>
          <w:sz w:val="20"/>
          <w:szCs w:val="20"/>
        </w:rPr>
        <w:t>It’s reasonable for the two IAB-donors to configure separate BAP address</w:t>
      </w:r>
      <w:r w:rsidR="00601500">
        <w:rPr>
          <w:rFonts w:ascii="Times New Roman" w:eastAsia="宋体" w:hAnsi="Times New Roman" w:cs="Times New Roman"/>
          <w:kern w:val="0"/>
          <w:sz w:val="20"/>
          <w:szCs w:val="20"/>
        </w:rPr>
        <w:t>es</w:t>
      </w:r>
      <w:r w:rsidR="00971E58">
        <w:rPr>
          <w:rFonts w:ascii="Times New Roman" w:eastAsia="宋体" w:hAnsi="Times New Roman" w:cs="Times New Roman"/>
          <w:kern w:val="0"/>
          <w:sz w:val="20"/>
          <w:szCs w:val="20"/>
        </w:rPr>
        <w:t xml:space="preserve"> for the mobile IAB-node, and in this case the BAP entity of mobile IAB-node can differentiate the DL traffic based on the BAP addresses on the BAP header. Alternatively, </w:t>
      </w:r>
      <w:r w:rsidR="00193869">
        <w:rPr>
          <w:rFonts w:ascii="Times New Roman" w:eastAsia="宋体" w:hAnsi="Times New Roman" w:cs="Times New Roman"/>
          <w:kern w:val="0"/>
          <w:sz w:val="20"/>
          <w:szCs w:val="20"/>
        </w:rPr>
        <w:t>separate IP addresses may be configured f</w:t>
      </w:r>
      <w:r w:rsidR="00300C5D">
        <w:rPr>
          <w:rFonts w:ascii="Times New Roman" w:eastAsia="宋体" w:hAnsi="Times New Roman" w:cs="Times New Roman"/>
          <w:kern w:val="0"/>
          <w:sz w:val="20"/>
          <w:szCs w:val="20"/>
        </w:rPr>
        <w:t>o</w:t>
      </w:r>
      <w:r w:rsidR="00193869">
        <w:rPr>
          <w:rFonts w:ascii="Times New Roman" w:eastAsia="宋体" w:hAnsi="Times New Roman" w:cs="Times New Roman"/>
          <w:kern w:val="0"/>
          <w:sz w:val="20"/>
          <w:szCs w:val="20"/>
        </w:rPr>
        <w:t>r two IAB-DUs for F1 traffic transport, and the BAP entity of mobile IAB-node can differentiate the DL traffic based on the destination IP address after removing the BAP header.</w:t>
      </w:r>
    </w:p>
    <w:p w14:paraId="6AD655D4" w14:textId="7A67803B" w:rsidR="00F00EA0" w:rsidRPr="00420F74" w:rsidRDefault="00A20DFF" w:rsidP="00420F74">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9B24D3">
        <w:rPr>
          <w:rFonts w:ascii="Times New Roman" w:eastAsia="宋体" w:hAnsi="Times New Roman" w:cs="Times New Roman"/>
          <w:b/>
          <w:bCs/>
          <w:kern w:val="0"/>
          <w:sz w:val="20"/>
          <w:szCs w:val="20"/>
        </w:rPr>
        <w:t xml:space="preserve">Proposal </w:t>
      </w:r>
      <w:r w:rsidR="001942B4">
        <w:rPr>
          <w:rFonts w:ascii="Times New Roman" w:eastAsia="宋体" w:hAnsi="Times New Roman" w:cs="Times New Roman"/>
          <w:b/>
          <w:bCs/>
          <w:kern w:val="0"/>
          <w:sz w:val="20"/>
          <w:szCs w:val="20"/>
        </w:rPr>
        <w:t>1</w:t>
      </w:r>
      <w:r w:rsidRPr="009B24D3">
        <w:rPr>
          <w:rFonts w:ascii="Times New Roman" w:eastAsia="宋体" w:hAnsi="Times New Roman" w:cs="Times New Roman"/>
          <w:b/>
          <w:bCs/>
          <w:kern w:val="0"/>
          <w:sz w:val="20"/>
          <w:szCs w:val="20"/>
        </w:rPr>
        <w:t>: DL traffic differentiation for mobile IAB-node</w:t>
      </w:r>
      <w:r w:rsidR="007878A9">
        <w:rPr>
          <w:rFonts w:ascii="Times New Roman" w:eastAsia="宋体" w:hAnsi="Times New Roman" w:cs="Times New Roman"/>
          <w:b/>
          <w:bCs/>
          <w:kern w:val="0"/>
          <w:sz w:val="20"/>
          <w:szCs w:val="20"/>
        </w:rPr>
        <w:t xml:space="preserve"> is</w:t>
      </w:r>
      <w:r w:rsidRPr="009B24D3">
        <w:rPr>
          <w:rFonts w:ascii="Times New Roman" w:eastAsia="宋体" w:hAnsi="Times New Roman" w:cs="Times New Roman"/>
          <w:b/>
          <w:bCs/>
          <w:kern w:val="0"/>
          <w:sz w:val="20"/>
          <w:szCs w:val="20"/>
        </w:rPr>
        <w:t xml:space="preserve"> based on different BAP addresses </w:t>
      </w:r>
      <w:r w:rsidR="007878A9">
        <w:rPr>
          <w:rFonts w:ascii="Times New Roman" w:eastAsia="宋体" w:hAnsi="Times New Roman" w:cs="Times New Roman"/>
          <w:b/>
          <w:bCs/>
          <w:kern w:val="0"/>
          <w:sz w:val="20"/>
          <w:szCs w:val="20"/>
        </w:rPr>
        <w:t xml:space="preserve">or IP addresses </w:t>
      </w:r>
      <w:r w:rsidRPr="009B24D3">
        <w:rPr>
          <w:rFonts w:ascii="Times New Roman" w:eastAsia="宋体" w:hAnsi="Times New Roman" w:cs="Times New Roman"/>
          <w:b/>
          <w:bCs/>
          <w:kern w:val="0"/>
          <w:sz w:val="20"/>
          <w:szCs w:val="20"/>
        </w:rPr>
        <w:t>of two logical IAB-DUs.</w:t>
      </w:r>
      <w:bookmarkStart w:id="4" w:name="OLE_LINK5"/>
    </w:p>
    <w:p w14:paraId="7F73ABE0" w14:textId="4641F164" w:rsidR="00C5589F" w:rsidRPr="008E7189" w:rsidRDefault="00C5589F" w:rsidP="008E7189">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8E7189">
        <w:rPr>
          <w:rFonts w:ascii="Times New Roman" w:eastAsia="宋体" w:hAnsi="Times New Roman" w:cs="Times New Roman" w:hint="eastAsia"/>
          <w:b/>
          <w:bCs/>
          <w:kern w:val="0"/>
          <w:sz w:val="22"/>
          <w:u w:val="single"/>
        </w:rPr>
        <w:t>P</w:t>
      </w:r>
      <w:r w:rsidRPr="008E7189">
        <w:rPr>
          <w:rFonts w:ascii="Times New Roman" w:eastAsia="宋体" w:hAnsi="Times New Roman" w:cs="Times New Roman"/>
          <w:b/>
          <w:bCs/>
          <w:kern w:val="0"/>
          <w:sz w:val="22"/>
          <w:u w:val="single"/>
        </w:rPr>
        <w:t>CI collision of mobile IAB-node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0"/>
      </w:tblGrid>
      <w:tr w:rsidR="00F00EA0" w14:paraId="3DF60CFA" w14:textId="77777777" w:rsidTr="00F00EA0">
        <w:trPr>
          <w:trHeight w:val="640"/>
        </w:trPr>
        <w:tc>
          <w:tcPr>
            <w:tcW w:w="9600" w:type="dxa"/>
          </w:tcPr>
          <w:bookmarkEnd w:id="4"/>
          <w:p w14:paraId="1B80F9A6" w14:textId="33427195" w:rsidR="00F00EA0" w:rsidRPr="00F00EA0" w:rsidRDefault="00F00EA0" w:rsidP="00F00EA0">
            <w:pPr>
              <w:pStyle w:val="Agreement"/>
              <w:numPr>
                <w:ilvl w:val="0"/>
                <w:numId w:val="0"/>
              </w:numPr>
              <w:ind w:leftChars="-29" w:left="-61"/>
            </w:pPr>
            <w:r>
              <w:t xml:space="preserve">P4: RAN2 may discuss whether there are issues with PCI partitioning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 </w:t>
            </w:r>
          </w:p>
        </w:tc>
      </w:tr>
    </w:tbl>
    <w:p w14:paraId="19E5C046" w14:textId="327B44B7" w:rsidR="00025B19" w:rsidRDefault="00025B19" w:rsidP="00E859B5">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n case of mobile IAB, the potential PCI collision will be further enlarged due to the mobility of the mobile IAB-node.</w:t>
      </w:r>
      <w:r>
        <w:rPr>
          <w:rFonts w:ascii="Times New Roman" w:eastAsia="宋体" w:hAnsi="Times New Roman" w:cs="Times New Roman" w:hint="eastAsia"/>
          <w:kern w:val="0"/>
          <w:sz w:val="20"/>
          <w:szCs w:val="20"/>
        </w:rPr>
        <w:t xml:space="preserve"> H</w:t>
      </w:r>
      <w:r>
        <w:rPr>
          <w:rFonts w:ascii="Times New Roman" w:eastAsia="宋体" w:hAnsi="Times New Roman" w:cs="Times New Roman"/>
          <w:kern w:val="0"/>
          <w:sz w:val="20"/>
          <w:szCs w:val="20"/>
        </w:rPr>
        <w:t xml:space="preserve">owever, as agreed in RAN3, PCI space partitioning via OAM </w:t>
      </w:r>
      <w:r w:rsidR="00F8649C">
        <w:rPr>
          <w:rFonts w:ascii="Times New Roman" w:eastAsia="宋体" w:hAnsi="Times New Roman" w:cs="Times New Roman"/>
          <w:kern w:val="0"/>
          <w:sz w:val="20"/>
          <w:szCs w:val="20"/>
        </w:rPr>
        <w:t>implementation</w:t>
      </w:r>
      <w:r>
        <w:rPr>
          <w:rFonts w:ascii="Times New Roman" w:eastAsia="宋体" w:hAnsi="Times New Roman" w:cs="Times New Roman"/>
          <w:kern w:val="0"/>
          <w:sz w:val="20"/>
          <w:szCs w:val="20"/>
        </w:rPr>
        <w:t xml:space="preserve"> can be used in some case for avoidance of PCI collisions, which means a separate set of PCIs may be assigned for the mobile IAB-node. And in this way, there will be no PCI collision between mobile IAB-nodes and </w:t>
      </w:r>
      <w:proofErr w:type="gramStart"/>
      <w:r>
        <w:rPr>
          <w:rFonts w:ascii="Times New Roman" w:eastAsia="宋体" w:hAnsi="Times New Roman" w:cs="Times New Roman"/>
          <w:kern w:val="0"/>
          <w:sz w:val="20"/>
          <w:szCs w:val="20"/>
        </w:rPr>
        <w:t>stationary</w:t>
      </w:r>
      <w:proofErr w:type="gramEnd"/>
      <w:r>
        <w:rPr>
          <w:rFonts w:ascii="Times New Roman" w:eastAsia="宋体" w:hAnsi="Times New Roman" w:cs="Times New Roman"/>
          <w:kern w:val="0"/>
          <w:sz w:val="20"/>
          <w:szCs w:val="20"/>
        </w:rPr>
        <w:t xml:space="preserve"> IAB-nodes. And in case of mobile IAB-node with pre-defined or predictable moving trajectory, OAM based PCI partitioning can also work well to avoid PCI collision.</w:t>
      </w:r>
    </w:p>
    <w:p w14:paraId="1E0DF999" w14:textId="1C84A4AF" w:rsidR="00025B19" w:rsidRPr="00C609F2" w:rsidRDefault="00025B19" w:rsidP="00025B1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C609F2">
        <w:rPr>
          <w:rFonts w:ascii="Times New Roman" w:eastAsia="宋体" w:hAnsi="Times New Roman" w:cs="Times New Roman" w:hint="eastAsia"/>
          <w:b/>
          <w:bCs/>
          <w:kern w:val="0"/>
          <w:sz w:val="20"/>
          <w:szCs w:val="20"/>
        </w:rPr>
        <w:t>O</w:t>
      </w:r>
      <w:r w:rsidRPr="00C609F2">
        <w:rPr>
          <w:rFonts w:ascii="Times New Roman" w:eastAsia="宋体" w:hAnsi="Times New Roman" w:cs="Times New Roman"/>
          <w:b/>
          <w:bCs/>
          <w:kern w:val="0"/>
          <w:sz w:val="20"/>
          <w:szCs w:val="20"/>
        </w:rPr>
        <w:t xml:space="preserve">bservation </w:t>
      </w:r>
      <w:r w:rsidR="00E859B5">
        <w:rPr>
          <w:rFonts w:ascii="Times New Roman" w:eastAsia="宋体" w:hAnsi="Times New Roman" w:cs="Times New Roman"/>
          <w:b/>
          <w:bCs/>
          <w:kern w:val="0"/>
          <w:sz w:val="20"/>
          <w:szCs w:val="20"/>
        </w:rPr>
        <w:t>1</w:t>
      </w:r>
      <w:r w:rsidRPr="00C609F2">
        <w:rPr>
          <w:rFonts w:ascii="Times New Roman" w:eastAsia="宋体" w:hAnsi="Times New Roman" w:cs="Times New Roman"/>
          <w:b/>
          <w:bCs/>
          <w:kern w:val="0"/>
          <w:sz w:val="20"/>
          <w:szCs w:val="20"/>
        </w:rPr>
        <w:t xml:space="preserve">: PCI partitioning via OAM </w:t>
      </w:r>
      <w:r w:rsidR="00F8649C">
        <w:rPr>
          <w:rFonts w:ascii="Times New Roman" w:eastAsia="宋体" w:hAnsi="Times New Roman" w:cs="Times New Roman"/>
          <w:b/>
          <w:bCs/>
          <w:kern w:val="0"/>
          <w:sz w:val="20"/>
          <w:szCs w:val="20"/>
        </w:rPr>
        <w:t xml:space="preserve">implementation </w:t>
      </w:r>
      <w:r w:rsidRPr="00C609F2">
        <w:rPr>
          <w:rFonts w:ascii="Times New Roman" w:eastAsia="宋体" w:hAnsi="Times New Roman" w:cs="Times New Roman"/>
          <w:b/>
          <w:bCs/>
          <w:kern w:val="0"/>
          <w:sz w:val="20"/>
          <w:szCs w:val="20"/>
        </w:rPr>
        <w:t xml:space="preserve">can work well in case of mobile IAB-node with pre-defined or </w:t>
      </w:r>
      <w:r w:rsidRPr="00846F8C">
        <w:rPr>
          <w:rFonts w:ascii="Times New Roman" w:eastAsia="宋体" w:hAnsi="Times New Roman" w:cs="Times New Roman"/>
          <w:b/>
          <w:bCs/>
          <w:kern w:val="0"/>
          <w:sz w:val="20"/>
          <w:szCs w:val="20"/>
        </w:rPr>
        <w:t>predictable moving trajectory</w:t>
      </w:r>
      <w:r w:rsidRPr="00C609F2">
        <w:rPr>
          <w:rFonts w:ascii="Times New Roman" w:eastAsia="宋体" w:hAnsi="Times New Roman" w:cs="Times New Roman"/>
          <w:b/>
          <w:bCs/>
          <w:kern w:val="0"/>
          <w:sz w:val="20"/>
          <w:szCs w:val="20"/>
        </w:rPr>
        <w:t>.</w:t>
      </w:r>
    </w:p>
    <w:p w14:paraId="192D36F4" w14:textId="6BFB85AE" w:rsidR="00025B19" w:rsidRDefault="00025B19" w:rsidP="00025B19">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And as agreed </w:t>
      </w:r>
      <w:r w:rsidR="00E859B5">
        <w:rPr>
          <w:rFonts w:ascii="Times New Roman" w:eastAsia="宋体" w:hAnsi="Times New Roman" w:cs="Times New Roman"/>
          <w:kern w:val="0"/>
          <w:sz w:val="20"/>
          <w:szCs w:val="20"/>
        </w:rPr>
        <w:t>in RAN3</w:t>
      </w:r>
      <w:r>
        <w:rPr>
          <w:rFonts w:ascii="Times New Roman" w:eastAsia="宋体" w:hAnsi="Times New Roman" w:cs="Times New Roman"/>
          <w:kern w:val="0"/>
          <w:sz w:val="20"/>
          <w:szCs w:val="20"/>
        </w:rPr>
        <w:t xml:space="preserve">, </w:t>
      </w:r>
      <w:r w:rsidRPr="00EF4EF0">
        <w:rPr>
          <w:rFonts w:ascii="Times New Roman" w:eastAsia="宋体" w:hAnsi="Times New Roman" w:cs="Times New Roman"/>
          <w:kern w:val="0"/>
          <w:sz w:val="20"/>
          <w:szCs w:val="20"/>
        </w:rPr>
        <w:t>existing mechanism can be used for PCI collision detection in mobile IAB scenario</w:t>
      </w:r>
      <w:r w:rsidR="00783812">
        <w:rPr>
          <w:rFonts w:ascii="Times New Roman" w:eastAsia="宋体" w:hAnsi="Times New Roman" w:cs="Times New Roman"/>
          <w:kern w:val="0"/>
          <w:sz w:val="20"/>
          <w:szCs w:val="20"/>
        </w:rPr>
        <w:t xml:space="preserve"> and it’s the F1-terminating IAB-donor to perform the PCI collision detection, w</w:t>
      </w:r>
      <w:r>
        <w:rPr>
          <w:rFonts w:ascii="Times New Roman" w:eastAsia="宋体" w:hAnsi="Times New Roman" w:cs="Times New Roman"/>
          <w:kern w:val="0"/>
          <w:sz w:val="20"/>
          <w:szCs w:val="20"/>
        </w:rPr>
        <w:t>here t</w:t>
      </w:r>
      <w:r w:rsidRPr="00EF4EF0">
        <w:rPr>
          <w:rFonts w:ascii="Times New Roman" w:eastAsia="宋体" w:hAnsi="Times New Roman" w:cs="Times New Roman"/>
          <w:kern w:val="0"/>
          <w:sz w:val="20"/>
          <w:szCs w:val="20"/>
        </w:rPr>
        <w:t xml:space="preserve">he </w:t>
      </w:r>
      <w:proofErr w:type="spellStart"/>
      <w:r w:rsidRPr="00EF4EF0">
        <w:rPr>
          <w:rFonts w:ascii="Times New Roman" w:eastAsia="宋体" w:hAnsi="Times New Roman" w:cs="Times New Roman"/>
          <w:kern w:val="0"/>
          <w:sz w:val="20"/>
          <w:szCs w:val="20"/>
        </w:rPr>
        <w:t>gNB</w:t>
      </w:r>
      <w:proofErr w:type="spellEnd"/>
      <w:r>
        <w:rPr>
          <w:rFonts w:ascii="Times New Roman" w:eastAsia="宋体" w:hAnsi="Times New Roman" w:cs="Times New Roman"/>
          <w:kern w:val="0"/>
          <w:sz w:val="20"/>
          <w:szCs w:val="20"/>
        </w:rPr>
        <w:t xml:space="preserve"> (IAB-donor)</w:t>
      </w:r>
      <w:r w:rsidRPr="00EF4EF0">
        <w:rPr>
          <w:rFonts w:ascii="Times New Roman" w:eastAsia="宋体" w:hAnsi="Times New Roman" w:cs="Times New Roman"/>
          <w:kern w:val="0"/>
          <w:sz w:val="20"/>
          <w:szCs w:val="20"/>
        </w:rPr>
        <w:t xml:space="preserve"> may restrict </w:t>
      </w:r>
      <w:r>
        <w:rPr>
          <w:rFonts w:ascii="Times New Roman" w:eastAsia="宋体" w:hAnsi="Times New Roman" w:cs="Times New Roman"/>
          <w:kern w:val="0"/>
          <w:sz w:val="20"/>
          <w:szCs w:val="20"/>
        </w:rPr>
        <w:t>the</w:t>
      </w:r>
      <w:r w:rsidRPr="00EF4EF0">
        <w:rPr>
          <w:rFonts w:ascii="Times New Roman" w:eastAsia="宋体" w:hAnsi="Times New Roman" w:cs="Times New Roman"/>
          <w:kern w:val="0"/>
          <w:sz w:val="20"/>
          <w:szCs w:val="20"/>
        </w:rPr>
        <w:t xml:space="preserve"> list</w:t>
      </w:r>
      <w:r>
        <w:rPr>
          <w:rFonts w:ascii="Times New Roman" w:eastAsia="宋体" w:hAnsi="Times New Roman" w:cs="Times New Roman"/>
          <w:kern w:val="0"/>
          <w:sz w:val="20"/>
          <w:szCs w:val="20"/>
        </w:rPr>
        <w:t xml:space="preserve"> assigned by OAM</w:t>
      </w:r>
      <w:r w:rsidRPr="00EF4EF0">
        <w:rPr>
          <w:rFonts w:ascii="Times New Roman" w:eastAsia="宋体" w:hAnsi="Times New Roman" w:cs="Times New Roman"/>
          <w:kern w:val="0"/>
          <w:sz w:val="20"/>
          <w:szCs w:val="20"/>
        </w:rPr>
        <w:t xml:space="preserve"> by removing some PCIs that are reported by UEs, reported over the Xn interface by neighboring gNBs, and/or acquired through other methods, e.g. detected over the air using a downlink receiver.</w:t>
      </w:r>
      <w:r>
        <w:rPr>
          <w:rFonts w:ascii="Times New Roman" w:eastAsia="宋体" w:hAnsi="Times New Roman" w:cs="Times New Roman"/>
          <w:kern w:val="0"/>
          <w:sz w:val="20"/>
          <w:szCs w:val="20"/>
        </w:rPr>
        <w:t xml:space="preserve"> Based on the information above, IAB-donor can perform PCI collision detection by implementation and perform PCI collision avoidance via the PCI Optimi</w:t>
      </w:r>
      <w:r w:rsidR="00AF1218">
        <w:rPr>
          <w:rFonts w:ascii="Times New Roman" w:eastAsia="宋体" w:hAnsi="Times New Roman" w:cs="Times New Roman"/>
          <w:kern w:val="0"/>
          <w:sz w:val="20"/>
          <w:szCs w:val="20"/>
        </w:rPr>
        <w:t>z</w:t>
      </w:r>
      <w:r>
        <w:rPr>
          <w:rFonts w:ascii="Times New Roman" w:eastAsia="宋体" w:hAnsi="Times New Roman" w:cs="Times New Roman"/>
          <w:kern w:val="0"/>
          <w:sz w:val="20"/>
          <w:szCs w:val="20"/>
        </w:rPr>
        <w:t xml:space="preserve">ation Function as specified in </w:t>
      </w:r>
      <w:r w:rsidR="00E859B5">
        <w:rPr>
          <w:rFonts w:ascii="Times New Roman" w:eastAsia="宋体" w:hAnsi="Times New Roman" w:cs="Times New Roman"/>
          <w:kern w:val="0"/>
          <w:sz w:val="20"/>
          <w:szCs w:val="20"/>
        </w:rPr>
        <w:t>R17</w:t>
      </w:r>
      <w:r w:rsidR="00783812">
        <w:rPr>
          <w:rFonts w:ascii="Times New Roman" w:eastAsia="宋体" w:hAnsi="Times New Roman" w:cs="Times New Roman"/>
          <w:kern w:val="0"/>
          <w:sz w:val="20"/>
          <w:szCs w:val="20"/>
        </w:rPr>
        <w:t xml:space="preserve"> (</w:t>
      </w:r>
      <w:r w:rsidR="00783812" w:rsidRPr="00783812">
        <w:rPr>
          <w:rFonts w:ascii="Times New Roman" w:eastAsia="宋体" w:hAnsi="Times New Roman" w:cs="Times New Roman"/>
          <w:kern w:val="0"/>
          <w:sz w:val="20"/>
          <w:szCs w:val="20"/>
        </w:rPr>
        <w:t xml:space="preserve">PCI </w:t>
      </w:r>
      <w:r w:rsidR="00783812">
        <w:rPr>
          <w:rFonts w:ascii="Times New Roman" w:eastAsia="宋体" w:hAnsi="Times New Roman" w:cs="Times New Roman"/>
          <w:kern w:val="0"/>
          <w:sz w:val="20"/>
          <w:szCs w:val="20"/>
        </w:rPr>
        <w:t>reconfiguration</w:t>
      </w:r>
      <w:r w:rsidR="00783812" w:rsidRPr="00783812">
        <w:rPr>
          <w:rFonts w:ascii="Times New Roman" w:eastAsia="宋体" w:hAnsi="Times New Roman" w:cs="Times New Roman"/>
          <w:kern w:val="0"/>
          <w:sz w:val="20"/>
          <w:szCs w:val="20"/>
        </w:rPr>
        <w:t xml:space="preserve"> via existing F1AP message</w:t>
      </w:r>
      <w:r w:rsidR="00783812">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w:t>
      </w:r>
      <w:r w:rsidR="00823A1C">
        <w:rPr>
          <w:rFonts w:ascii="Times New Roman" w:eastAsia="宋体" w:hAnsi="Times New Roman" w:cs="Times New Roman"/>
          <w:kern w:val="0"/>
          <w:sz w:val="20"/>
          <w:szCs w:val="20"/>
        </w:rPr>
        <w:t xml:space="preserve"> Alternatively, the PCI collision can be also resolved by </w:t>
      </w:r>
      <w:r w:rsidR="00DF280F">
        <w:rPr>
          <w:rFonts w:ascii="Times New Roman" w:eastAsia="宋体" w:hAnsi="Times New Roman" w:cs="Times New Roman"/>
          <w:kern w:val="0"/>
          <w:sz w:val="20"/>
          <w:szCs w:val="20"/>
        </w:rPr>
        <w:t xml:space="preserve">a network-controlled PCI change mechanism via </w:t>
      </w:r>
      <w:r w:rsidR="00823A1C">
        <w:rPr>
          <w:rFonts w:ascii="Times New Roman" w:eastAsia="宋体" w:hAnsi="Times New Roman" w:cs="Times New Roman"/>
          <w:kern w:val="0"/>
          <w:sz w:val="20"/>
          <w:szCs w:val="20"/>
        </w:rPr>
        <w:t xml:space="preserve">activating a new PCI at the mobile IAB-node and handover all </w:t>
      </w:r>
      <w:r w:rsidR="00823A1C" w:rsidRPr="00823A1C">
        <w:rPr>
          <w:rFonts w:ascii="Times New Roman" w:eastAsia="宋体" w:hAnsi="Times New Roman" w:cs="Times New Roman"/>
          <w:kern w:val="0"/>
          <w:sz w:val="20"/>
          <w:szCs w:val="20"/>
        </w:rPr>
        <w:t xml:space="preserve">connected UEs </w:t>
      </w:r>
      <w:r w:rsidR="00823A1C">
        <w:rPr>
          <w:rFonts w:ascii="Times New Roman" w:eastAsia="宋体" w:hAnsi="Times New Roman" w:cs="Times New Roman"/>
          <w:kern w:val="0"/>
          <w:sz w:val="20"/>
          <w:szCs w:val="20"/>
        </w:rPr>
        <w:t>to the</w:t>
      </w:r>
      <w:r w:rsidR="00823A1C" w:rsidRPr="00823A1C">
        <w:rPr>
          <w:rFonts w:ascii="Times New Roman" w:eastAsia="宋体" w:hAnsi="Times New Roman" w:cs="Times New Roman"/>
          <w:kern w:val="0"/>
          <w:sz w:val="20"/>
          <w:szCs w:val="20"/>
        </w:rPr>
        <w:t xml:space="preserve"> cells using new PCI</w:t>
      </w:r>
      <w:r w:rsidR="00823A1C">
        <w:rPr>
          <w:rFonts w:ascii="Times New Roman" w:eastAsia="宋体" w:hAnsi="Times New Roman" w:cs="Times New Roman"/>
          <w:kern w:val="0"/>
          <w:sz w:val="20"/>
          <w:szCs w:val="20"/>
        </w:rPr>
        <w:t>.</w:t>
      </w:r>
    </w:p>
    <w:p w14:paraId="76A1F658" w14:textId="16A57345" w:rsidR="00025B19" w:rsidRPr="001403B2" w:rsidRDefault="00025B19" w:rsidP="00025B19">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1403B2">
        <w:rPr>
          <w:rFonts w:ascii="Times New Roman" w:eastAsia="宋体" w:hAnsi="Times New Roman" w:cs="Times New Roman" w:hint="eastAsia"/>
          <w:b/>
          <w:bCs/>
          <w:kern w:val="0"/>
          <w:sz w:val="20"/>
          <w:szCs w:val="20"/>
        </w:rPr>
        <w:t>O</w:t>
      </w:r>
      <w:r w:rsidRPr="001403B2">
        <w:rPr>
          <w:rFonts w:ascii="Times New Roman" w:eastAsia="宋体" w:hAnsi="Times New Roman" w:cs="Times New Roman"/>
          <w:b/>
          <w:bCs/>
          <w:kern w:val="0"/>
          <w:sz w:val="20"/>
          <w:szCs w:val="20"/>
        </w:rPr>
        <w:t xml:space="preserve">bservation </w:t>
      </w:r>
      <w:r w:rsidR="00E859B5">
        <w:rPr>
          <w:rFonts w:ascii="Times New Roman" w:eastAsia="宋体" w:hAnsi="Times New Roman" w:cs="Times New Roman"/>
          <w:b/>
          <w:bCs/>
          <w:kern w:val="0"/>
          <w:sz w:val="20"/>
          <w:szCs w:val="20"/>
        </w:rPr>
        <w:t>2</w:t>
      </w:r>
      <w:r w:rsidRPr="001403B2">
        <w:rPr>
          <w:rFonts w:ascii="Times New Roman" w:eastAsia="宋体" w:hAnsi="Times New Roman" w:cs="Times New Roman"/>
          <w:b/>
          <w:bCs/>
          <w:kern w:val="0"/>
          <w:sz w:val="20"/>
          <w:szCs w:val="20"/>
        </w:rPr>
        <w:t xml:space="preserve">: The PCI </w:t>
      </w:r>
      <w:r w:rsidR="00AF1218" w:rsidRPr="001403B2">
        <w:rPr>
          <w:rFonts w:ascii="Times New Roman" w:eastAsia="宋体" w:hAnsi="Times New Roman" w:cs="Times New Roman"/>
          <w:b/>
          <w:bCs/>
          <w:kern w:val="0"/>
          <w:sz w:val="20"/>
          <w:szCs w:val="20"/>
        </w:rPr>
        <w:t>Optimization</w:t>
      </w:r>
      <w:r w:rsidRPr="001403B2">
        <w:rPr>
          <w:rFonts w:ascii="Times New Roman" w:eastAsia="宋体" w:hAnsi="Times New Roman" w:cs="Times New Roman"/>
          <w:b/>
          <w:bCs/>
          <w:kern w:val="0"/>
          <w:sz w:val="20"/>
          <w:szCs w:val="20"/>
        </w:rPr>
        <w:t xml:space="preserve"> Function </w:t>
      </w:r>
      <w:r w:rsidR="00823A1C">
        <w:rPr>
          <w:rFonts w:ascii="Times New Roman" w:eastAsia="宋体" w:hAnsi="Times New Roman" w:cs="Times New Roman"/>
          <w:b/>
          <w:bCs/>
          <w:kern w:val="0"/>
          <w:sz w:val="20"/>
          <w:szCs w:val="20"/>
        </w:rPr>
        <w:t xml:space="preserve">and </w:t>
      </w:r>
      <w:r w:rsidR="00DF280F">
        <w:rPr>
          <w:rFonts w:ascii="Times New Roman" w:eastAsia="宋体" w:hAnsi="Times New Roman" w:cs="Times New Roman"/>
          <w:b/>
          <w:bCs/>
          <w:kern w:val="0"/>
          <w:sz w:val="20"/>
          <w:szCs w:val="20"/>
        </w:rPr>
        <w:t xml:space="preserve">the </w:t>
      </w:r>
      <w:r w:rsidR="00DF280F" w:rsidRPr="00DF280F">
        <w:rPr>
          <w:rFonts w:ascii="Times New Roman" w:eastAsia="宋体" w:hAnsi="Times New Roman" w:cs="Times New Roman"/>
          <w:b/>
          <w:bCs/>
          <w:kern w:val="0"/>
          <w:sz w:val="20"/>
          <w:szCs w:val="20"/>
        </w:rPr>
        <w:t xml:space="preserve">network-controlled PCI change mechanism </w:t>
      </w:r>
      <w:r w:rsidR="00F070F2">
        <w:rPr>
          <w:rFonts w:ascii="Times New Roman" w:eastAsia="宋体" w:hAnsi="Times New Roman" w:cs="Times New Roman"/>
          <w:b/>
          <w:bCs/>
          <w:kern w:val="0"/>
          <w:sz w:val="20"/>
          <w:szCs w:val="20"/>
        </w:rPr>
        <w:t>are sufficient</w:t>
      </w:r>
      <w:r w:rsidRPr="001403B2">
        <w:rPr>
          <w:rFonts w:ascii="Times New Roman" w:eastAsia="宋体" w:hAnsi="Times New Roman" w:cs="Times New Roman"/>
          <w:b/>
          <w:bCs/>
          <w:kern w:val="0"/>
          <w:sz w:val="20"/>
          <w:szCs w:val="20"/>
        </w:rPr>
        <w:t xml:space="preserve"> to avoid PCI collision for mobile IAB as a supplement of OAM partitioning.</w:t>
      </w:r>
      <w:r w:rsidR="00DF280F">
        <w:rPr>
          <w:rFonts w:ascii="Times New Roman" w:eastAsia="宋体" w:hAnsi="Times New Roman" w:cs="Times New Roman"/>
          <w:b/>
          <w:bCs/>
          <w:kern w:val="0"/>
          <w:sz w:val="20"/>
          <w:szCs w:val="20"/>
        </w:rPr>
        <w:t xml:space="preserve"> </w:t>
      </w:r>
    </w:p>
    <w:p w14:paraId="0E3EA859" w14:textId="77777777" w:rsidR="00AB72B7" w:rsidRPr="00AB72B7" w:rsidRDefault="00AB72B7" w:rsidP="00AB72B7">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AB72B7">
        <w:rPr>
          <w:rFonts w:ascii="Times New Roman" w:eastAsia="宋体" w:hAnsi="Times New Roman" w:cs="Times New Roman"/>
          <w:b/>
          <w:bCs/>
          <w:kern w:val="0"/>
          <w:sz w:val="22"/>
          <w:u w:val="single"/>
        </w:rPr>
        <w:t>RACH collision of mobile IAB-node</w:t>
      </w:r>
    </w:p>
    <w:tbl>
      <w:tblPr>
        <w:tblW w:w="9670"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D03E0C" w14:paraId="02FD6114" w14:textId="77777777" w:rsidTr="00D03E0C">
        <w:trPr>
          <w:trHeight w:val="768"/>
        </w:trPr>
        <w:tc>
          <w:tcPr>
            <w:tcW w:w="9670" w:type="dxa"/>
          </w:tcPr>
          <w:p w14:paraId="08B42BB5" w14:textId="1E411AD5" w:rsidR="00D03E0C" w:rsidRPr="00D03E0C" w:rsidRDefault="00D03E0C" w:rsidP="00D03E0C">
            <w:pPr>
              <w:pStyle w:val="Agreement"/>
              <w:numPr>
                <w:ilvl w:val="0"/>
                <w:numId w:val="0"/>
              </w:numPr>
              <w:ind w:leftChars="-39" w:left="-82"/>
            </w:pPr>
            <w:r>
              <w:t xml:space="preserve">P5: RAN2 may discuss whether there is a problem of RACH configuration collision between mobile IAB and stationary network from RAN2 perspective and/or whether RAN2 should ask RAN1 to consider RAN1-related aspects. </w:t>
            </w:r>
          </w:p>
        </w:tc>
      </w:tr>
    </w:tbl>
    <w:p w14:paraId="59E95FFE" w14:textId="1B5555EE" w:rsidR="00F55E1C" w:rsidRDefault="00C5589F" w:rsidP="00D03E0C">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case of migration of mobile IAB-node, all related served UEs may handover from source IAB-DU1 to target IAB-DU2 in a short </w:t>
      </w:r>
      <w:proofErr w:type="gramStart"/>
      <w:r>
        <w:rPr>
          <w:rFonts w:ascii="Times New Roman" w:eastAsia="宋体" w:hAnsi="Times New Roman" w:cs="Times New Roman"/>
          <w:kern w:val="0"/>
          <w:sz w:val="20"/>
          <w:szCs w:val="20"/>
        </w:rPr>
        <w:t>time period</w:t>
      </w:r>
      <w:proofErr w:type="gramEnd"/>
      <w:r>
        <w:rPr>
          <w:rFonts w:ascii="Times New Roman" w:eastAsia="宋体" w:hAnsi="Times New Roman" w:cs="Times New Roman"/>
          <w:kern w:val="0"/>
          <w:sz w:val="20"/>
          <w:szCs w:val="20"/>
        </w:rPr>
        <w:t xml:space="preserve">. So, there may have RACH resource collision due to the RACH storm of a great many UEs in this </w:t>
      </w:r>
      <w:r>
        <w:rPr>
          <w:rFonts w:ascii="Times New Roman" w:eastAsia="宋体" w:hAnsi="Times New Roman" w:cs="Times New Roman"/>
          <w:kern w:val="0"/>
          <w:sz w:val="20"/>
          <w:szCs w:val="20"/>
        </w:rPr>
        <w:lastRenderedPageBreak/>
        <w:t>case. As</w:t>
      </w:r>
      <w:r w:rsidR="00D03E0C">
        <w:rPr>
          <w:rFonts w:ascii="Times New Roman" w:eastAsia="宋体" w:hAnsi="Times New Roman" w:cs="Times New Roman"/>
          <w:kern w:val="0"/>
          <w:sz w:val="20"/>
          <w:szCs w:val="20"/>
        </w:rPr>
        <w:t xml:space="preserve"> agreed in</w:t>
      </w:r>
      <w:r w:rsidR="00B305C6">
        <w:rPr>
          <w:rFonts w:ascii="Times New Roman" w:eastAsia="宋体" w:hAnsi="Times New Roman" w:cs="Times New Roman"/>
          <w:kern w:val="0"/>
          <w:sz w:val="20"/>
          <w:szCs w:val="20"/>
        </w:rPr>
        <w:t xml:space="preserve"> RAN2</w:t>
      </w:r>
      <w:r w:rsidR="00D03E0C">
        <w:rPr>
          <w:rFonts w:ascii="Times New Roman" w:eastAsia="宋体" w:hAnsi="Times New Roman" w:cs="Times New Roman"/>
          <w:kern w:val="0"/>
          <w:sz w:val="20"/>
          <w:szCs w:val="20"/>
        </w:rPr>
        <w:t xml:space="preserve"> </w:t>
      </w:r>
      <w:r w:rsidR="00E01D7D">
        <w:rPr>
          <w:rFonts w:ascii="Times New Roman" w:eastAsia="宋体" w:hAnsi="Times New Roman" w:cs="Times New Roman"/>
          <w:kern w:val="0"/>
          <w:sz w:val="20"/>
          <w:szCs w:val="20"/>
        </w:rPr>
        <w:t>11</w:t>
      </w:r>
      <w:r w:rsidR="00ED46EA">
        <w:rPr>
          <w:rFonts w:ascii="Times New Roman" w:eastAsia="宋体" w:hAnsi="Times New Roman" w:cs="Times New Roman"/>
          <w:kern w:val="0"/>
          <w:sz w:val="20"/>
          <w:szCs w:val="20"/>
        </w:rPr>
        <w:t>9</w:t>
      </w:r>
      <w:r w:rsidR="00E01D7D">
        <w:rPr>
          <w:rFonts w:ascii="Times New Roman" w:eastAsia="宋体" w:hAnsi="Times New Roman" w:cs="Times New Roman"/>
          <w:kern w:val="0"/>
          <w:sz w:val="20"/>
          <w:szCs w:val="20"/>
        </w:rPr>
        <w:t xml:space="preserve">-e </w:t>
      </w:r>
      <w:r w:rsidR="00511B61">
        <w:rPr>
          <w:rFonts w:ascii="Times New Roman" w:eastAsia="宋体" w:hAnsi="Times New Roman" w:cs="Times New Roman"/>
          <w:kern w:val="0"/>
          <w:sz w:val="20"/>
          <w:szCs w:val="20"/>
        </w:rPr>
        <w:t>meeting</w:t>
      </w:r>
      <w:r>
        <w:rPr>
          <w:rFonts w:ascii="Times New Roman" w:eastAsia="宋体" w:hAnsi="Times New Roman" w:cs="Times New Roman"/>
          <w:kern w:val="0"/>
          <w:sz w:val="20"/>
          <w:szCs w:val="20"/>
        </w:rPr>
        <w:t xml:space="preserve">, </w:t>
      </w:r>
      <w:r w:rsidR="00F55E1C" w:rsidRPr="00F55E1C">
        <w:rPr>
          <w:rFonts w:ascii="Times New Roman" w:eastAsia="宋体" w:hAnsi="Times New Roman" w:cs="Times New Roman"/>
          <w:kern w:val="0"/>
          <w:sz w:val="20"/>
          <w:szCs w:val="20"/>
        </w:rPr>
        <w:t xml:space="preserve">RACH-less </w:t>
      </w:r>
      <w:r w:rsidR="00F55E1C">
        <w:rPr>
          <w:rFonts w:ascii="Times New Roman" w:eastAsia="宋体" w:hAnsi="Times New Roman" w:cs="Times New Roman"/>
          <w:kern w:val="0"/>
          <w:sz w:val="20"/>
          <w:szCs w:val="20"/>
        </w:rPr>
        <w:t>handover</w:t>
      </w:r>
      <w:r w:rsidR="00F55E1C" w:rsidRPr="00F55E1C">
        <w:rPr>
          <w:rFonts w:ascii="Times New Roman" w:eastAsia="宋体" w:hAnsi="Times New Roman" w:cs="Times New Roman"/>
          <w:kern w:val="0"/>
          <w:sz w:val="20"/>
          <w:szCs w:val="20"/>
        </w:rPr>
        <w:t xml:space="preserve"> may be considered for on-board RRC_CONNECTED UEs</w:t>
      </w:r>
      <w:r w:rsidR="00F55E1C">
        <w:rPr>
          <w:rFonts w:ascii="Times New Roman" w:eastAsia="宋体" w:hAnsi="Times New Roman" w:cs="Times New Roman"/>
          <w:kern w:val="0"/>
          <w:sz w:val="20"/>
          <w:szCs w:val="20"/>
        </w:rPr>
        <w:t xml:space="preserve"> of mobile IAB-node. In this way, there is no RACH collision during the full migration procedure.</w:t>
      </w:r>
    </w:p>
    <w:p w14:paraId="7A2899A4" w14:textId="1F54A332" w:rsidR="00C5589F" w:rsidRPr="00820313" w:rsidRDefault="00C5589F" w:rsidP="00C5589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820313">
        <w:rPr>
          <w:rFonts w:ascii="Times New Roman" w:eastAsia="宋体" w:hAnsi="Times New Roman" w:cs="Times New Roman" w:hint="eastAsia"/>
          <w:b/>
          <w:bCs/>
          <w:kern w:val="0"/>
          <w:sz w:val="20"/>
          <w:szCs w:val="20"/>
        </w:rPr>
        <w:t>O</w:t>
      </w:r>
      <w:r w:rsidRPr="00820313">
        <w:rPr>
          <w:rFonts w:ascii="Times New Roman" w:eastAsia="宋体" w:hAnsi="Times New Roman" w:cs="Times New Roman"/>
          <w:b/>
          <w:bCs/>
          <w:kern w:val="0"/>
          <w:sz w:val="20"/>
          <w:szCs w:val="20"/>
        </w:rPr>
        <w:t xml:space="preserve">bservation </w:t>
      </w:r>
      <w:r w:rsidR="00F55E1C">
        <w:rPr>
          <w:rFonts w:ascii="Times New Roman" w:eastAsia="宋体" w:hAnsi="Times New Roman" w:cs="Times New Roman"/>
          <w:b/>
          <w:bCs/>
          <w:kern w:val="0"/>
          <w:sz w:val="20"/>
          <w:szCs w:val="20"/>
        </w:rPr>
        <w:t>3</w:t>
      </w:r>
      <w:r w:rsidRPr="00820313">
        <w:rPr>
          <w:rFonts w:ascii="Times New Roman" w:eastAsia="宋体" w:hAnsi="Times New Roman" w:cs="Times New Roman"/>
          <w:b/>
          <w:bCs/>
          <w:kern w:val="0"/>
          <w:sz w:val="20"/>
          <w:szCs w:val="20"/>
        </w:rPr>
        <w:t>: RACH-less handover for the served UEs can avoid the potential RACH collision due to mobile IAB-node mobility.</w:t>
      </w:r>
    </w:p>
    <w:p w14:paraId="029B31A0" w14:textId="1BE20255" w:rsidR="00C5589F" w:rsidRDefault="00C5589F" w:rsidP="00C5589F">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bookmarkStart w:id="5" w:name="_Hlk110587116"/>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f the served UEs of the mobile IAB-node </w:t>
      </w:r>
      <w:r w:rsidR="00CE3BB0">
        <w:rPr>
          <w:rFonts w:ascii="Times New Roman" w:eastAsia="宋体" w:hAnsi="Times New Roman" w:cs="Times New Roman"/>
          <w:kern w:val="0"/>
          <w:sz w:val="20"/>
          <w:szCs w:val="20"/>
        </w:rPr>
        <w:t xml:space="preserve">still </w:t>
      </w:r>
      <w:r>
        <w:rPr>
          <w:rFonts w:ascii="Times New Roman" w:eastAsia="宋体" w:hAnsi="Times New Roman" w:cs="Times New Roman"/>
          <w:kern w:val="0"/>
          <w:sz w:val="20"/>
          <w:szCs w:val="20"/>
        </w:rPr>
        <w:t xml:space="preserve">need to perform legacy handover which including RACH during full migration procedure. RACH resources for some of UEs may occur collision. However, since the RACH resources for the all served UEs are centralized configured by the IAB-donor-CU, and the IAB-donor-CU </w:t>
      </w:r>
      <w:proofErr w:type="gramStart"/>
      <w:r>
        <w:rPr>
          <w:rFonts w:ascii="Times New Roman" w:eastAsia="宋体" w:hAnsi="Times New Roman" w:cs="Times New Roman"/>
          <w:kern w:val="0"/>
          <w:sz w:val="20"/>
          <w:szCs w:val="20"/>
        </w:rPr>
        <w:t>is able to</w:t>
      </w:r>
      <w:proofErr w:type="gramEnd"/>
      <w:r>
        <w:rPr>
          <w:rFonts w:ascii="Times New Roman" w:eastAsia="宋体" w:hAnsi="Times New Roman" w:cs="Times New Roman"/>
          <w:kern w:val="0"/>
          <w:sz w:val="20"/>
          <w:szCs w:val="20"/>
        </w:rPr>
        <w:t xml:space="preserve"> schedule each UE to perform RACH in different time/frequency domain resource. In addition, group mobility is only considered for onboard UEs and </w:t>
      </w:r>
      <w:r>
        <w:rPr>
          <w:rFonts w:ascii="Times New Roman" w:eastAsia="宋体" w:hAnsi="Times New Roman" w:cs="Times New Roman" w:hint="eastAsia"/>
          <w:kern w:val="0"/>
          <w:sz w:val="20"/>
          <w:szCs w:val="20"/>
        </w:rPr>
        <w:t>n</w:t>
      </w:r>
      <w:r w:rsidRPr="00525376">
        <w:rPr>
          <w:rFonts w:ascii="Times New Roman" w:eastAsia="宋体" w:hAnsi="Times New Roman" w:cs="Times New Roman"/>
          <w:kern w:val="0"/>
          <w:sz w:val="20"/>
          <w:szCs w:val="20"/>
        </w:rPr>
        <w:t>o optimizations for surrounding UEs</w:t>
      </w:r>
      <w:r>
        <w:rPr>
          <w:rFonts w:ascii="Times New Roman" w:eastAsia="宋体" w:hAnsi="Times New Roman" w:cs="Times New Roman"/>
          <w:kern w:val="0"/>
          <w:sz w:val="20"/>
          <w:szCs w:val="20"/>
        </w:rPr>
        <w:t>.</w:t>
      </w:r>
      <w:r w:rsidRPr="00525376">
        <w:rPr>
          <w:rFonts w:ascii="Times New Roman" w:eastAsia="宋体" w:hAnsi="Times New Roman" w:cs="Times New Roman" w:hint="eastAsia"/>
          <w:kern w:val="0"/>
          <w:sz w:val="20"/>
          <w:szCs w:val="20"/>
        </w:rPr>
        <w:t xml:space="preserve"> </w:t>
      </w:r>
      <w:r w:rsidR="00CE3BB0">
        <w:rPr>
          <w:rFonts w:ascii="Times New Roman" w:eastAsia="宋体" w:hAnsi="Times New Roman" w:cs="Times New Roman"/>
          <w:kern w:val="0"/>
          <w:sz w:val="20"/>
          <w:szCs w:val="20"/>
        </w:rPr>
        <w:t>Moreover,</w:t>
      </w:r>
      <w:r>
        <w:rPr>
          <w:rFonts w:ascii="Times New Roman" w:eastAsia="宋体" w:hAnsi="Times New Roman" w:cs="Times New Roman"/>
          <w:kern w:val="0"/>
          <w:sz w:val="20"/>
          <w:szCs w:val="20"/>
        </w:rPr>
        <w:t xml:space="preserve"> this is not the specific case for mobile IAB-node, and it has been already discussed in other agenda items, e.g., NTN and MBS.</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 xml:space="preserve">Therefore, maybe RAN1 needs to firstly evaluate whether the </w:t>
      </w:r>
      <w:r w:rsidRPr="008F2DC7">
        <w:rPr>
          <w:rFonts w:ascii="Times New Roman" w:eastAsia="宋体" w:hAnsi="Times New Roman" w:cs="Times New Roman"/>
          <w:kern w:val="0"/>
          <w:sz w:val="20"/>
          <w:szCs w:val="20"/>
        </w:rPr>
        <w:t xml:space="preserve">legacy RACH configurations are sufficient for avoid RACH collision of </w:t>
      </w:r>
      <w:r>
        <w:rPr>
          <w:rFonts w:ascii="Times New Roman" w:eastAsia="宋体" w:hAnsi="Times New Roman" w:cs="Times New Roman"/>
          <w:kern w:val="0"/>
          <w:sz w:val="20"/>
          <w:szCs w:val="20"/>
        </w:rPr>
        <w:t>served</w:t>
      </w:r>
      <w:r w:rsidRPr="008F2DC7">
        <w:rPr>
          <w:rFonts w:ascii="Times New Roman" w:eastAsia="宋体" w:hAnsi="Times New Roman" w:cs="Times New Roman"/>
          <w:kern w:val="0"/>
          <w:sz w:val="20"/>
          <w:szCs w:val="20"/>
        </w:rPr>
        <w:t xml:space="preserve"> UEs</w:t>
      </w:r>
      <w:r>
        <w:rPr>
          <w:rFonts w:ascii="Times New Roman" w:eastAsia="宋体" w:hAnsi="Times New Roman" w:cs="Times New Roman"/>
          <w:kern w:val="0"/>
          <w:sz w:val="20"/>
          <w:szCs w:val="20"/>
        </w:rPr>
        <w:t xml:space="preserve"> of mobile IAB-node. And enhancements for RACH collision avoidance can be discussed later based on the feedback of the evaluation.</w:t>
      </w:r>
    </w:p>
    <w:bookmarkEnd w:id="5"/>
    <w:p w14:paraId="16CB8325" w14:textId="4A6D21C3" w:rsidR="00C5589F" w:rsidRPr="00844B51" w:rsidRDefault="00C5589F" w:rsidP="00C5589F">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3B753E">
        <w:rPr>
          <w:rFonts w:ascii="Times New Roman" w:eastAsia="宋体" w:hAnsi="Times New Roman" w:cs="Times New Roman" w:hint="eastAsia"/>
          <w:b/>
          <w:bCs/>
          <w:kern w:val="0"/>
          <w:sz w:val="20"/>
          <w:szCs w:val="20"/>
        </w:rPr>
        <w:t>P</w:t>
      </w:r>
      <w:r w:rsidRPr="003B753E">
        <w:rPr>
          <w:rFonts w:ascii="Times New Roman" w:eastAsia="宋体" w:hAnsi="Times New Roman" w:cs="Times New Roman"/>
          <w:b/>
          <w:bCs/>
          <w:kern w:val="0"/>
          <w:sz w:val="20"/>
          <w:szCs w:val="20"/>
        </w:rPr>
        <w:t xml:space="preserve">roposal </w:t>
      </w:r>
      <w:r w:rsidR="00A33978">
        <w:rPr>
          <w:rFonts w:ascii="Times New Roman" w:eastAsia="宋体" w:hAnsi="Times New Roman" w:cs="Times New Roman"/>
          <w:b/>
          <w:bCs/>
          <w:kern w:val="0"/>
          <w:sz w:val="20"/>
          <w:szCs w:val="20"/>
        </w:rPr>
        <w:t>2</w:t>
      </w:r>
      <w:r w:rsidRPr="003B753E">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Ask </w:t>
      </w:r>
      <w:r w:rsidRPr="003B753E">
        <w:rPr>
          <w:rFonts w:ascii="Times New Roman" w:eastAsia="宋体" w:hAnsi="Times New Roman" w:cs="Times New Roman"/>
          <w:b/>
          <w:bCs/>
          <w:kern w:val="0"/>
          <w:sz w:val="20"/>
          <w:szCs w:val="20"/>
        </w:rPr>
        <w:t>RAN1 to firstly evaluate whether the legacy RACH configurations are sufficient for avoid</w:t>
      </w:r>
      <w:r w:rsidR="008D4982">
        <w:rPr>
          <w:rFonts w:ascii="Times New Roman" w:eastAsia="宋体" w:hAnsi="Times New Roman" w:cs="Times New Roman" w:hint="eastAsia"/>
          <w:b/>
          <w:bCs/>
          <w:kern w:val="0"/>
          <w:sz w:val="20"/>
          <w:szCs w:val="20"/>
        </w:rPr>
        <w:t>ing</w:t>
      </w:r>
      <w:r w:rsidRPr="003B753E">
        <w:rPr>
          <w:rFonts w:ascii="Times New Roman" w:eastAsia="宋体" w:hAnsi="Times New Roman" w:cs="Times New Roman"/>
          <w:b/>
          <w:bCs/>
          <w:kern w:val="0"/>
          <w:sz w:val="20"/>
          <w:szCs w:val="20"/>
        </w:rPr>
        <w:t xml:space="preserve"> RACH collision of served UEs of mobile IAB-node.</w:t>
      </w:r>
    </w:p>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501825EF"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w:t>
      </w:r>
      <w:r w:rsidR="00AC214F">
        <w:rPr>
          <w:rFonts w:ascii="Times New Roman" w:eastAsia="宋体" w:hAnsi="Times New Roman" w:cs="Times New Roman"/>
          <w:kern w:val="0"/>
          <w:sz w:val="20"/>
          <w:szCs w:val="20"/>
        </w:rPr>
        <w:t xml:space="preserve">discuss </w:t>
      </w:r>
      <w:r w:rsidR="00AC214F">
        <w:rPr>
          <w:rFonts w:ascii="Times New Roman" w:eastAsia="宋体" w:hAnsi="Times New Roman" w:cs="Times New Roman" w:hint="eastAsia"/>
          <w:kern w:val="0"/>
          <w:sz w:val="20"/>
          <w:szCs w:val="20"/>
        </w:rPr>
        <w:t>e</w:t>
      </w:r>
      <w:r w:rsidR="00AC214F" w:rsidRPr="00853907">
        <w:rPr>
          <w:rFonts w:ascii="Times New Roman" w:eastAsia="宋体" w:hAnsi="Times New Roman" w:cs="Times New Roman"/>
          <w:kern w:val="0"/>
          <w:sz w:val="20"/>
          <w:szCs w:val="20"/>
        </w:rPr>
        <w:t xml:space="preserve">nhancements for </w:t>
      </w:r>
      <w:r w:rsidR="00424604">
        <w:rPr>
          <w:rFonts w:ascii="Times New Roman" w:eastAsia="宋体" w:hAnsi="Times New Roman" w:cs="Times New Roman"/>
          <w:kern w:val="0"/>
          <w:sz w:val="20"/>
          <w:szCs w:val="20"/>
        </w:rPr>
        <w:t>mobile IAB-node inter-donor full migration</w:t>
      </w:r>
      <w:r w:rsidR="00F862F2">
        <w:rPr>
          <w:rFonts w:ascii="Times New Roman" w:eastAsia="宋体" w:hAnsi="Times New Roman" w:cs="Times New Roman"/>
          <w:kern w:val="0"/>
          <w:sz w:val="20"/>
          <w:szCs w:val="20"/>
        </w:rPr>
        <w:t>. And following observations and proposals are concluded.</w:t>
      </w:r>
    </w:p>
    <w:p w14:paraId="4A96FAE4" w14:textId="77777777" w:rsidR="001251FB" w:rsidRDefault="001251FB" w:rsidP="001251FB">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Pr>
          <w:rFonts w:ascii="Times New Roman" w:eastAsia="宋体" w:hAnsi="Times New Roman" w:cs="Times New Roman" w:hint="eastAsia"/>
          <w:b/>
          <w:bCs/>
          <w:kern w:val="0"/>
          <w:sz w:val="22"/>
          <w:u w:val="single"/>
        </w:rPr>
        <w:t>D</w:t>
      </w:r>
      <w:r>
        <w:rPr>
          <w:rFonts w:ascii="Times New Roman" w:eastAsia="宋体" w:hAnsi="Times New Roman" w:cs="Times New Roman"/>
          <w:b/>
          <w:bCs/>
          <w:kern w:val="0"/>
          <w:sz w:val="22"/>
          <w:u w:val="single"/>
        </w:rPr>
        <w:t>ual logical IAB-DUs of the mobile IAB-node</w:t>
      </w:r>
    </w:p>
    <w:p w14:paraId="54B7965D" w14:textId="77777777" w:rsidR="00A33978" w:rsidRPr="00420F74" w:rsidRDefault="00A33978" w:rsidP="00A33978">
      <w:pPr>
        <w:widowControl/>
        <w:overflowPunct w:val="0"/>
        <w:autoSpaceDE w:val="0"/>
        <w:autoSpaceDN w:val="0"/>
        <w:adjustRightInd w:val="0"/>
        <w:spacing w:beforeLines="50" w:before="120" w:after="120"/>
        <w:textAlignment w:val="baseline"/>
        <w:rPr>
          <w:rFonts w:ascii="Times New Roman" w:eastAsia="宋体" w:hAnsi="Times New Roman" w:cs="Times New Roman"/>
          <w:b/>
          <w:bCs/>
          <w:kern w:val="0"/>
          <w:sz w:val="20"/>
          <w:szCs w:val="20"/>
        </w:rPr>
      </w:pPr>
      <w:r w:rsidRPr="009B24D3">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1</w:t>
      </w:r>
      <w:r w:rsidRPr="009B24D3">
        <w:rPr>
          <w:rFonts w:ascii="Times New Roman" w:eastAsia="宋体" w:hAnsi="Times New Roman" w:cs="Times New Roman"/>
          <w:b/>
          <w:bCs/>
          <w:kern w:val="0"/>
          <w:sz w:val="20"/>
          <w:szCs w:val="20"/>
        </w:rPr>
        <w:t>: DL traffic differentiation for mobile IAB-node</w:t>
      </w:r>
      <w:r>
        <w:rPr>
          <w:rFonts w:ascii="Times New Roman" w:eastAsia="宋体" w:hAnsi="Times New Roman" w:cs="Times New Roman"/>
          <w:b/>
          <w:bCs/>
          <w:kern w:val="0"/>
          <w:sz w:val="20"/>
          <w:szCs w:val="20"/>
        </w:rPr>
        <w:t xml:space="preserve"> is</w:t>
      </w:r>
      <w:r w:rsidRPr="009B24D3">
        <w:rPr>
          <w:rFonts w:ascii="Times New Roman" w:eastAsia="宋体" w:hAnsi="Times New Roman" w:cs="Times New Roman"/>
          <w:b/>
          <w:bCs/>
          <w:kern w:val="0"/>
          <w:sz w:val="20"/>
          <w:szCs w:val="20"/>
        </w:rPr>
        <w:t xml:space="preserve"> based on different BAP addresses </w:t>
      </w:r>
      <w:r>
        <w:rPr>
          <w:rFonts w:ascii="Times New Roman" w:eastAsia="宋体" w:hAnsi="Times New Roman" w:cs="Times New Roman"/>
          <w:b/>
          <w:bCs/>
          <w:kern w:val="0"/>
          <w:sz w:val="20"/>
          <w:szCs w:val="20"/>
        </w:rPr>
        <w:t xml:space="preserve">or IP addresses </w:t>
      </w:r>
      <w:r w:rsidRPr="009B24D3">
        <w:rPr>
          <w:rFonts w:ascii="Times New Roman" w:eastAsia="宋体" w:hAnsi="Times New Roman" w:cs="Times New Roman"/>
          <w:b/>
          <w:bCs/>
          <w:kern w:val="0"/>
          <w:sz w:val="20"/>
          <w:szCs w:val="20"/>
        </w:rPr>
        <w:t>of two logical IAB-DUs.</w:t>
      </w:r>
    </w:p>
    <w:p w14:paraId="03D80552" w14:textId="77777777" w:rsidR="001251FB" w:rsidRPr="008E7189" w:rsidRDefault="001251FB" w:rsidP="001251FB">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8E7189">
        <w:rPr>
          <w:rFonts w:ascii="Times New Roman" w:eastAsia="宋体" w:hAnsi="Times New Roman" w:cs="Times New Roman" w:hint="eastAsia"/>
          <w:b/>
          <w:bCs/>
          <w:kern w:val="0"/>
          <w:sz w:val="22"/>
          <w:u w:val="single"/>
        </w:rPr>
        <w:t>P</w:t>
      </w:r>
      <w:r w:rsidRPr="008E7189">
        <w:rPr>
          <w:rFonts w:ascii="Times New Roman" w:eastAsia="宋体" w:hAnsi="Times New Roman" w:cs="Times New Roman"/>
          <w:b/>
          <w:bCs/>
          <w:kern w:val="0"/>
          <w:sz w:val="22"/>
          <w:u w:val="single"/>
        </w:rPr>
        <w:t>CI collision of mobile IAB-node</w:t>
      </w:r>
    </w:p>
    <w:p w14:paraId="031A95D3" w14:textId="77777777" w:rsidR="008C4C7A" w:rsidRPr="00C609F2" w:rsidRDefault="008C4C7A" w:rsidP="008C4C7A">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C609F2">
        <w:rPr>
          <w:rFonts w:ascii="Times New Roman" w:eastAsia="宋体" w:hAnsi="Times New Roman" w:cs="Times New Roman" w:hint="eastAsia"/>
          <w:b/>
          <w:bCs/>
          <w:kern w:val="0"/>
          <w:sz w:val="20"/>
          <w:szCs w:val="20"/>
        </w:rPr>
        <w:t>O</w:t>
      </w:r>
      <w:r w:rsidRPr="00C609F2">
        <w:rPr>
          <w:rFonts w:ascii="Times New Roman" w:eastAsia="宋体" w:hAnsi="Times New Roman" w:cs="Times New Roman"/>
          <w:b/>
          <w:bCs/>
          <w:kern w:val="0"/>
          <w:sz w:val="20"/>
          <w:szCs w:val="20"/>
        </w:rPr>
        <w:t xml:space="preserve">bservation </w:t>
      </w:r>
      <w:r>
        <w:rPr>
          <w:rFonts w:ascii="Times New Roman" w:eastAsia="宋体" w:hAnsi="Times New Roman" w:cs="Times New Roman"/>
          <w:b/>
          <w:bCs/>
          <w:kern w:val="0"/>
          <w:sz w:val="20"/>
          <w:szCs w:val="20"/>
        </w:rPr>
        <w:t>1</w:t>
      </w:r>
      <w:r w:rsidRPr="00C609F2">
        <w:rPr>
          <w:rFonts w:ascii="Times New Roman" w:eastAsia="宋体" w:hAnsi="Times New Roman" w:cs="Times New Roman"/>
          <w:b/>
          <w:bCs/>
          <w:kern w:val="0"/>
          <w:sz w:val="20"/>
          <w:szCs w:val="20"/>
        </w:rPr>
        <w:t xml:space="preserve">: PCI partitioning via OAM </w:t>
      </w:r>
      <w:r>
        <w:rPr>
          <w:rFonts w:ascii="Times New Roman" w:eastAsia="宋体" w:hAnsi="Times New Roman" w:cs="Times New Roman"/>
          <w:b/>
          <w:bCs/>
          <w:kern w:val="0"/>
          <w:sz w:val="20"/>
          <w:szCs w:val="20"/>
        </w:rPr>
        <w:t xml:space="preserve">implementation </w:t>
      </w:r>
      <w:r w:rsidRPr="00C609F2">
        <w:rPr>
          <w:rFonts w:ascii="Times New Roman" w:eastAsia="宋体" w:hAnsi="Times New Roman" w:cs="Times New Roman"/>
          <w:b/>
          <w:bCs/>
          <w:kern w:val="0"/>
          <w:sz w:val="20"/>
          <w:szCs w:val="20"/>
        </w:rPr>
        <w:t xml:space="preserve">can work well in case of mobile IAB-node with pre-defined or </w:t>
      </w:r>
      <w:r w:rsidRPr="00846F8C">
        <w:rPr>
          <w:rFonts w:ascii="Times New Roman" w:eastAsia="宋体" w:hAnsi="Times New Roman" w:cs="Times New Roman"/>
          <w:b/>
          <w:bCs/>
          <w:kern w:val="0"/>
          <w:sz w:val="20"/>
          <w:szCs w:val="20"/>
        </w:rPr>
        <w:t>predictable moving trajectory</w:t>
      </w:r>
      <w:r w:rsidRPr="00C609F2">
        <w:rPr>
          <w:rFonts w:ascii="Times New Roman" w:eastAsia="宋体" w:hAnsi="Times New Roman" w:cs="Times New Roman"/>
          <w:b/>
          <w:bCs/>
          <w:kern w:val="0"/>
          <w:sz w:val="20"/>
          <w:szCs w:val="20"/>
        </w:rPr>
        <w:t>.</w:t>
      </w:r>
    </w:p>
    <w:p w14:paraId="2DF269FD" w14:textId="77777777" w:rsidR="008C4C7A" w:rsidRPr="001403B2" w:rsidRDefault="008C4C7A" w:rsidP="008C4C7A">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1403B2">
        <w:rPr>
          <w:rFonts w:ascii="Times New Roman" w:eastAsia="宋体" w:hAnsi="Times New Roman" w:cs="Times New Roman" w:hint="eastAsia"/>
          <w:b/>
          <w:bCs/>
          <w:kern w:val="0"/>
          <w:sz w:val="20"/>
          <w:szCs w:val="20"/>
        </w:rPr>
        <w:t>O</w:t>
      </w:r>
      <w:r w:rsidRPr="001403B2">
        <w:rPr>
          <w:rFonts w:ascii="Times New Roman" w:eastAsia="宋体" w:hAnsi="Times New Roman" w:cs="Times New Roman"/>
          <w:b/>
          <w:bCs/>
          <w:kern w:val="0"/>
          <w:sz w:val="20"/>
          <w:szCs w:val="20"/>
        </w:rPr>
        <w:t xml:space="preserve">bservation </w:t>
      </w:r>
      <w:r>
        <w:rPr>
          <w:rFonts w:ascii="Times New Roman" w:eastAsia="宋体" w:hAnsi="Times New Roman" w:cs="Times New Roman"/>
          <w:b/>
          <w:bCs/>
          <w:kern w:val="0"/>
          <w:sz w:val="20"/>
          <w:szCs w:val="20"/>
        </w:rPr>
        <w:t>2</w:t>
      </w:r>
      <w:r w:rsidRPr="001403B2">
        <w:rPr>
          <w:rFonts w:ascii="Times New Roman" w:eastAsia="宋体" w:hAnsi="Times New Roman" w:cs="Times New Roman"/>
          <w:b/>
          <w:bCs/>
          <w:kern w:val="0"/>
          <w:sz w:val="20"/>
          <w:szCs w:val="20"/>
        </w:rPr>
        <w:t xml:space="preserve">: The PCI Optimization Function </w:t>
      </w:r>
      <w:r>
        <w:rPr>
          <w:rFonts w:ascii="Times New Roman" w:eastAsia="宋体" w:hAnsi="Times New Roman" w:cs="Times New Roman"/>
          <w:b/>
          <w:bCs/>
          <w:kern w:val="0"/>
          <w:sz w:val="20"/>
          <w:szCs w:val="20"/>
        </w:rPr>
        <w:t xml:space="preserve">and the </w:t>
      </w:r>
      <w:r w:rsidRPr="00DF280F">
        <w:rPr>
          <w:rFonts w:ascii="Times New Roman" w:eastAsia="宋体" w:hAnsi="Times New Roman" w:cs="Times New Roman"/>
          <w:b/>
          <w:bCs/>
          <w:kern w:val="0"/>
          <w:sz w:val="20"/>
          <w:szCs w:val="20"/>
        </w:rPr>
        <w:t xml:space="preserve">network-controlled PCI change mechanism </w:t>
      </w:r>
      <w:r>
        <w:rPr>
          <w:rFonts w:ascii="Times New Roman" w:eastAsia="宋体" w:hAnsi="Times New Roman" w:cs="Times New Roman"/>
          <w:b/>
          <w:bCs/>
          <w:kern w:val="0"/>
          <w:sz w:val="20"/>
          <w:szCs w:val="20"/>
        </w:rPr>
        <w:t>are sufficient</w:t>
      </w:r>
      <w:r w:rsidRPr="001403B2">
        <w:rPr>
          <w:rFonts w:ascii="Times New Roman" w:eastAsia="宋体" w:hAnsi="Times New Roman" w:cs="Times New Roman"/>
          <w:b/>
          <w:bCs/>
          <w:kern w:val="0"/>
          <w:sz w:val="20"/>
          <w:szCs w:val="20"/>
        </w:rPr>
        <w:t xml:space="preserve"> to avoid PCI collision for mobile IAB as a supplement of OAM partitioning.</w:t>
      </w:r>
      <w:r>
        <w:rPr>
          <w:rFonts w:ascii="Times New Roman" w:eastAsia="宋体" w:hAnsi="Times New Roman" w:cs="Times New Roman"/>
          <w:b/>
          <w:bCs/>
          <w:kern w:val="0"/>
          <w:sz w:val="20"/>
          <w:szCs w:val="20"/>
        </w:rPr>
        <w:t xml:space="preserve"> </w:t>
      </w:r>
    </w:p>
    <w:p w14:paraId="0A8CC398" w14:textId="2F38D895" w:rsidR="001251FB" w:rsidRPr="00AB72B7" w:rsidRDefault="001251FB" w:rsidP="001251FB">
      <w:pPr>
        <w:widowControl/>
        <w:overflowPunct w:val="0"/>
        <w:autoSpaceDE w:val="0"/>
        <w:autoSpaceDN w:val="0"/>
        <w:adjustRightInd w:val="0"/>
        <w:spacing w:beforeLines="50" w:before="120" w:after="180"/>
        <w:textAlignment w:val="baseline"/>
        <w:rPr>
          <w:rFonts w:ascii="Times New Roman" w:eastAsia="宋体" w:hAnsi="Times New Roman" w:cs="Times New Roman"/>
          <w:b/>
          <w:bCs/>
          <w:kern w:val="0"/>
          <w:sz w:val="22"/>
          <w:u w:val="single"/>
        </w:rPr>
      </w:pPr>
      <w:r w:rsidRPr="00AB72B7">
        <w:rPr>
          <w:rFonts w:ascii="Times New Roman" w:eastAsia="宋体" w:hAnsi="Times New Roman" w:cs="Times New Roman"/>
          <w:b/>
          <w:bCs/>
          <w:kern w:val="0"/>
          <w:sz w:val="22"/>
          <w:u w:val="single"/>
        </w:rPr>
        <w:t>RACH collision of mobile IAB-node</w:t>
      </w:r>
    </w:p>
    <w:p w14:paraId="553860AE" w14:textId="77777777" w:rsidR="001251FB" w:rsidRPr="00820313" w:rsidRDefault="001251FB" w:rsidP="001251F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820313">
        <w:rPr>
          <w:rFonts w:ascii="Times New Roman" w:eastAsia="宋体" w:hAnsi="Times New Roman" w:cs="Times New Roman" w:hint="eastAsia"/>
          <w:b/>
          <w:bCs/>
          <w:kern w:val="0"/>
          <w:sz w:val="20"/>
          <w:szCs w:val="20"/>
        </w:rPr>
        <w:t>O</w:t>
      </w:r>
      <w:r w:rsidRPr="00820313">
        <w:rPr>
          <w:rFonts w:ascii="Times New Roman" w:eastAsia="宋体" w:hAnsi="Times New Roman" w:cs="Times New Roman"/>
          <w:b/>
          <w:bCs/>
          <w:kern w:val="0"/>
          <w:sz w:val="20"/>
          <w:szCs w:val="20"/>
        </w:rPr>
        <w:t xml:space="preserve">bservation </w:t>
      </w:r>
      <w:r>
        <w:rPr>
          <w:rFonts w:ascii="Times New Roman" w:eastAsia="宋体" w:hAnsi="Times New Roman" w:cs="Times New Roman"/>
          <w:b/>
          <w:bCs/>
          <w:kern w:val="0"/>
          <w:sz w:val="20"/>
          <w:szCs w:val="20"/>
        </w:rPr>
        <w:t>3</w:t>
      </w:r>
      <w:r w:rsidRPr="00820313">
        <w:rPr>
          <w:rFonts w:ascii="Times New Roman" w:eastAsia="宋体" w:hAnsi="Times New Roman" w:cs="Times New Roman"/>
          <w:b/>
          <w:bCs/>
          <w:kern w:val="0"/>
          <w:sz w:val="20"/>
          <w:szCs w:val="20"/>
        </w:rPr>
        <w:t>: RACH-less handover for the served UEs can avoid the potential RACH collision due to mobile IAB-node mobility.</w:t>
      </w:r>
    </w:p>
    <w:p w14:paraId="318018E4" w14:textId="675EC25C" w:rsidR="001251FB" w:rsidRPr="00844B51" w:rsidRDefault="001251FB" w:rsidP="001251F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3B753E">
        <w:rPr>
          <w:rFonts w:ascii="Times New Roman" w:eastAsia="宋体" w:hAnsi="Times New Roman" w:cs="Times New Roman" w:hint="eastAsia"/>
          <w:b/>
          <w:bCs/>
          <w:kern w:val="0"/>
          <w:sz w:val="20"/>
          <w:szCs w:val="20"/>
        </w:rPr>
        <w:t>P</w:t>
      </w:r>
      <w:r w:rsidRPr="003B753E">
        <w:rPr>
          <w:rFonts w:ascii="Times New Roman" w:eastAsia="宋体" w:hAnsi="Times New Roman" w:cs="Times New Roman"/>
          <w:b/>
          <w:bCs/>
          <w:kern w:val="0"/>
          <w:sz w:val="20"/>
          <w:szCs w:val="20"/>
        </w:rPr>
        <w:t xml:space="preserve">roposal </w:t>
      </w:r>
      <w:r w:rsidR="00A33978">
        <w:rPr>
          <w:rFonts w:ascii="Times New Roman" w:eastAsia="宋体" w:hAnsi="Times New Roman" w:cs="Times New Roman"/>
          <w:b/>
          <w:bCs/>
          <w:kern w:val="0"/>
          <w:sz w:val="20"/>
          <w:szCs w:val="20"/>
        </w:rPr>
        <w:t>2</w:t>
      </w:r>
      <w:r w:rsidRPr="003B753E">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Ask </w:t>
      </w:r>
      <w:r w:rsidRPr="003B753E">
        <w:rPr>
          <w:rFonts w:ascii="Times New Roman" w:eastAsia="宋体" w:hAnsi="Times New Roman" w:cs="Times New Roman"/>
          <w:b/>
          <w:bCs/>
          <w:kern w:val="0"/>
          <w:sz w:val="20"/>
          <w:szCs w:val="20"/>
        </w:rPr>
        <w:t>RAN1 to firstly evaluate whether the legacy RACH configurations are sufficient for avoid</w:t>
      </w:r>
      <w:r w:rsidR="008D4982">
        <w:rPr>
          <w:rFonts w:ascii="Times New Roman" w:eastAsia="宋体" w:hAnsi="Times New Roman" w:cs="Times New Roman"/>
          <w:b/>
          <w:bCs/>
          <w:kern w:val="0"/>
          <w:sz w:val="20"/>
          <w:szCs w:val="20"/>
        </w:rPr>
        <w:t>ing</w:t>
      </w:r>
      <w:r w:rsidRPr="003B753E">
        <w:rPr>
          <w:rFonts w:ascii="Times New Roman" w:eastAsia="宋体" w:hAnsi="Times New Roman" w:cs="Times New Roman"/>
          <w:b/>
          <w:bCs/>
          <w:kern w:val="0"/>
          <w:sz w:val="20"/>
          <w:szCs w:val="20"/>
        </w:rPr>
        <w:t xml:space="preserve"> RACH collision of served UEs of mobile IAB-node.</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0"/>
    <w:bookmarkEnd w:id="1"/>
    <w:p w14:paraId="62586150" w14:textId="5BC4B6F6" w:rsidR="002D167F" w:rsidRPr="007A2FD1" w:rsidRDefault="00B472A1" w:rsidP="007A2FD1">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 xml:space="preserve">RP-222671. Revised WID for NR_mobile_IAB. </w:t>
      </w:r>
    </w:p>
    <w:p w14:paraId="7E72C195" w14:textId="1FDEBF75" w:rsidR="003E0958" w:rsidRPr="00F8649C" w:rsidRDefault="001911F4" w:rsidP="00F8649C">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hint="eastAsia"/>
          <w:kern w:val="0"/>
          <w:sz w:val="20"/>
          <w:lang w:val="x-none"/>
        </w:rPr>
        <w:t>3</w:t>
      </w:r>
      <w:r>
        <w:rPr>
          <w:rFonts w:ascii="Times New Roman" w:eastAsia="宋体" w:hAnsi="Times New Roman" w:cs="Times New Roman"/>
          <w:kern w:val="0"/>
          <w:sz w:val="20"/>
          <w:lang w:val="x-none"/>
        </w:rPr>
        <w:t xml:space="preserve">GPP TS 38.340. </w:t>
      </w:r>
      <w:r w:rsidRPr="001911F4">
        <w:rPr>
          <w:rFonts w:ascii="Times New Roman" w:eastAsia="宋体" w:hAnsi="Times New Roman" w:cs="Times New Roman"/>
          <w:kern w:val="0"/>
          <w:sz w:val="20"/>
          <w:lang w:val="x-none"/>
        </w:rPr>
        <w:t>Backhaul Adaptation Protocol (BAP) specification</w:t>
      </w:r>
      <w:r>
        <w:rPr>
          <w:rFonts w:ascii="Times New Roman" w:eastAsia="宋体" w:hAnsi="Times New Roman" w:cs="Times New Roman" w:hint="eastAsia"/>
          <w:kern w:val="0"/>
          <w:sz w:val="20"/>
          <w:lang w:val="x-none"/>
        </w:rPr>
        <w:t xml:space="preserve"> </w:t>
      </w:r>
      <w:r w:rsidRPr="001911F4">
        <w:rPr>
          <w:rFonts w:ascii="Times New Roman" w:eastAsia="宋体" w:hAnsi="Times New Roman" w:cs="Times New Roman"/>
          <w:kern w:val="0"/>
          <w:sz w:val="20"/>
          <w:lang w:val="x-none"/>
        </w:rPr>
        <w:t>(Release 17)</w:t>
      </w:r>
      <w:r>
        <w:rPr>
          <w:rFonts w:ascii="Times New Roman" w:eastAsia="宋体" w:hAnsi="Times New Roman" w:cs="Times New Roman"/>
          <w:kern w:val="0"/>
          <w:sz w:val="20"/>
          <w:lang w:val="x-none"/>
        </w:rPr>
        <w:t>.</w:t>
      </w:r>
    </w:p>
    <w:sectPr w:rsidR="003E0958" w:rsidRPr="00F8649C"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614CC" w14:textId="77777777" w:rsidR="008A3DBA" w:rsidRDefault="008A3DBA" w:rsidP="00AA3FAE">
      <w:r>
        <w:separator/>
      </w:r>
    </w:p>
  </w:endnote>
  <w:endnote w:type="continuationSeparator" w:id="0">
    <w:p w14:paraId="6F69FDAC" w14:textId="77777777" w:rsidR="008A3DBA" w:rsidRDefault="008A3DBA"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05DA8" w14:textId="77777777" w:rsidR="008A3DBA" w:rsidRDefault="008A3DBA" w:rsidP="00AA3FAE">
      <w:r>
        <w:separator/>
      </w:r>
    </w:p>
  </w:footnote>
  <w:footnote w:type="continuationSeparator" w:id="0">
    <w:p w14:paraId="6FB50D2B" w14:textId="77777777" w:rsidR="008A3DBA" w:rsidRDefault="008A3DBA"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217E5"/>
    <w:multiLevelType w:val="hybridMultilevel"/>
    <w:tmpl w:val="AEFEBB4E"/>
    <w:lvl w:ilvl="0" w:tplc="0FE299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784D9D"/>
    <w:multiLevelType w:val="hybridMultilevel"/>
    <w:tmpl w:val="40D0D1F4"/>
    <w:lvl w:ilvl="0" w:tplc="94DC551A">
      <w:numFmt w:val="bullet"/>
      <w:lvlText w:val=""/>
      <w:lvlJc w:val="left"/>
      <w:pPr>
        <w:ind w:left="360" w:hanging="360"/>
      </w:pPr>
      <w:rPr>
        <w:rFonts w:ascii="Wingdings" w:eastAsia="宋体" w:hAnsi="Wingdings" w:cs="Times New Roman" w:hint="default"/>
        <w:b/>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54191B"/>
    <w:multiLevelType w:val="hybridMultilevel"/>
    <w:tmpl w:val="CFFEDC1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9C737C"/>
    <w:multiLevelType w:val="hybridMultilevel"/>
    <w:tmpl w:val="37923F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eastAsia"/>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AB492A"/>
    <w:multiLevelType w:val="hybridMultilevel"/>
    <w:tmpl w:val="453C59F6"/>
    <w:lvl w:ilvl="0" w:tplc="E69A28F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F449F6"/>
    <w:multiLevelType w:val="hybridMultilevel"/>
    <w:tmpl w:val="45E279C4"/>
    <w:lvl w:ilvl="0" w:tplc="08090001">
      <w:start w:val="1"/>
      <w:numFmt w:val="bullet"/>
      <w:lvlText w:val=""/>
      <w:lvlJc w:val="left"/>
      <w:pPr>
        <w:ind w:left="840" w:hanging="420"/>
      </w:pPr>
      <w:rPr>
        <w:rFonts w:ascii="Symbol" w:hAnsi="Symbol"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8AB5369"/>
    <w:multiLevelType w:val="hybridMultilevel"/>
    <w:tmpl w:val="C8AADF34"/>
    <w:lvl w:ilvl="0" w:tplc="817603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87E82"/>
    <w:multiLevelType w:val="hybridMultilevel"/>
    <w:tmpl w:val="3312C4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0" w15:restartNumberingAfterBreak="0">
    <w:nsid w:val="39CB50B8"/>
    <w:multiLevelType w:val="hybridMultilevel"/>
    <w:tmpl w:val="F1CCA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856923"/>
    <w:multiLevelType w:val="hybridMultilevel"/>
    <w:tmpl w:val="71BA76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242A03"/>
    <w:multiLevelType w:val="hybridMultilevel"/>
    <w:tmpl w:val="B3EE2F34"/>
    <w:lvl w:ilvl="0" w:tplc="D7904998">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60A26513"/>
    <w:multiLevelType w:val="hybridMultilevel"/>
    <w:tmpl w:val="CD90B980"/>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A06A15"/>
    <w:multiLevelType w:val="hybridMultilevel"/>
    <w:tmpl w:val="0324F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354A5E"/>
    <w:multiLevelType w:val="hybridMultilevel"/>
    <w:tmpl w:val="8806D4AE"/>
    <w:lvl w:ilvl="0" w:tplc="0FE299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780"/>
        </w:tabs>
        <w:ind w:left="780" w:hanging="360"/>
      </w:pPr>
      <w:rPr>
        <w:rFonts w:ascii="Symbol" w:hAnsi="Symbol" w:hint="default"/>
        <w:b/>
        <w:i w:val="0"/>
        <w:color w:val="auto"/>
        <w:sz w:val="22"/>
      </w:rPr>
    </w:lvl>
    <w:lvl w:ilvl="1" w:tplc="04090003">
      <w:start w:val="1"/>
      <w:numFmt w:val="bullet"/>
      <w:lvlText w:val="o"/>
      <w:lvlJc w:val="left"/>
      <w:pPr>
        <w:tabs>
          <w:tab w:val="num" w:pos="601"/>
        </w:tabs>
        <w:ind w:left="601" w:hanging="360"/>
      </w:pPr>
      <w:rPr>
        <w:rFonts w:ascii="Courier New" w:hAnsi="Courier New" w:cs="Courier New" w:hint="default"/>
      </w:rPr>
    </w:lvl>
    <w:lvl w:ilvl="2" w:tplc="04090005" w:tentative="1">
      <w:start w:val="1"/>
      <w:numFmt w:val="bullet"/>
      <w:lvlText w:val=""/>
      <w:lvlJc w:val="left"/>
      <w:pPr>
        <w:tabs>
          <w:tab w:val="num" w:pos="1321"/>
        </w:tabs>
        <w:ind w:left="1321" w:hanging="360"/>
      </w:pPr>
      <w:rPr>
        <w:rFonts w:ascii="Wingdings" w:hAnsi="Wingdings" w:hint="default"/>
      </w:rPr>
    </w:lvl>
    <w:lvl w:ilvl="3" w:tplc="04090001" w:tentative="1">
      <w:start w:val="1"/>
      <w:numFmt w:val="bullet"/>
      <w:lvlText w:val=""/>
      <w:lvlJc w:val="left"/>
      <w:pPr>
        <w:tabs>
          <w:tab w:val="num" w:pos="2041"/>
        </w:tabs>
        <w:ind w:left="2041" w:hanging="360"/>
      </w:pPr>
      <w:rPr>
        <w:rFonts w:ascii="Symbol" w:hAnsi="Symbol" w:hint="default"/>
      </w:rPr>
    </w:lvl>
    <w:lvl w:ilvl="4" w:tplc="04090003" w:tentative="1">
      <w:start w:val="1"/>
      <w:numFmt w:val="bullet"/>
      <w:lvlText w:val="o"/>
      <w:lvlJc w:val="left"/>
      <w:pPr>
        <w:tabs>
          <w:tab w:val="num" w:pos="2761"/>
        </w:tabs>
        <w:ind w:left="2761" w:hanging="360"/>
      </w:pPr>
      <w:rPr>
        <w:rFonts w:ascii="Courier New" w:hAnsi="Courier New" w:cs="Courier New" w:hint="default"/>
      </w:rPr>
    </w:lvl>
    <w:lvl w:ilvl="5" w:tplc="04090005" w:tentative="1">
      <w:start w:val="1"/>
      <w:numFmt w:val="bullet"/>
      <w:lvlText w:val=""/>
      <w:lvlJc w:val="left"/>
      <w:pPr>
        <w:tabs>
          <w:tab w:val="num" w:pos="3481"/>
        </w:tabs>
        <w:ind w:left="3481" w:hanging="360"/>
      </w:pPr>
      <w:rPr>
        <w:rFonts w:ascii="Wingdings" w:hAnsi="Wingdings" w:hint="default"/>
      </w:rPr>
    </w:lvl>
    <w:lvl w:ilvl="6" w:tplc="04090001" w:tentative="1">
      <w:start w:val="1"/>
      <w:numFmt w:val="bullet"/>
      <w:lvlText w:val=""/>
      <w:lvlJc w:val="left"/>
      <w:pPr>
        <w:tabs>
          <w:tab w:val="num" w:pos="4201"/>
        </w:tabs>
        <w:ind w:left="4201" w:hanging="360"/>
      </w:pPr>
      <w:rPr>
        <w:rFonts w:ascii="Symbol" w:hAnsi="Symbol" w:hint="default"/>
      </w:rPr>
    </w:lvl>
    <w:lvl w:ilvl="7" w:tplc="04090003" w:tentative="1">
      <w:start w:val="1"/>
      <w:numFmt w:val="bullet"/>
      <w:lvlText w:val="o"/>
      <w:lvlJc w:val="left"/>
      <w:pPr>
        <w:tabs>
          <w:tab w:val="num" w:pos="4921"/>
        </w:tabs>
        <w:ind w:left="4921" w:hanging="360"/>
      </w:pPr>
      <w:rPr>
        <w:rFonts w:ascii="Courier New" w:hAnsi="Courier New" w:cs="Courier New" w:hint="default"/>
      </w:rPr>
    </w:lvl>
    <w:lvl w:ilvl="8" w:tplc="04090005" w:tentative="1">
      <w:start w:val="1"/>
      <w:numFmt w:val="bullet"/>
      <w:lvlText w:val=""/>
      <w:lvlJc w:val="left"/>
      <w:pPr>
        <w:tabs>
          <w:tab w:val="num" w:pos="5641"/>
        </w:tabs>
        <w:ind w:left="5641" w:hanging="360"/>
      </w:pPr>
      <w:rPr>
        <w:rFonts w:ascii="Wingdings" w:hAnsi="Wingdings" w:hint="default"/>
      </w:rPr>
    </w:lvl>
  </w:abstractNum>
  <w:num w:numId="1">
    <w:abstractNumId w:val="9"/>
  </w:num>
  <w:num w:numId="2">
    <w:abstractNumId w:val="3"/>
  </w:num>
  <w:num w:numId="3">
    <w:abstractNumId w:val="2"/>
  </w:num>
  <w:num w:numId="4">
    <w:abstractNumId w:val="13"/>
  </w:num>
  <w:num w:numId="5">
    <w:abstractNumId w:val="7"/>
  </w:num>
  <w:num w:numId="6">
    <w:abstractNumId w:val="18"/>
  </w:num>
  <w:num w:numId="7">
    <w:abstractNumId w:val="15"/>
  </w:num>
  <w:num w:numId="8">
    <w:abstractNumId w:val="8"/>
  </w:num>
  <w:num w:numId="9">
    <w:abstractNumId w:val="0"/>
  </w:num>
  <w:num w:numId="10">
    <w:abstractNumId w:val="4"/>
  </w:num>
  <w:num w:numId="11">
    <w:abstractNumId w:val="10"/>
  </w:num>
  <w:num w:numId="12">
    <w:abstractNumId w:val="17"/>
  </w:num>
  <w:num w:numId="13">
    <w:abstractNumId w:val="11"/>
  </w:num>
  <w:num w:numId="14">
    <w:abstractNumId w:val="6"/>
  </w:num>
  <w:num w:numId="15">
    <w:abstractNumId w:val="1"/>
  </w:num>
  <w:num w:numId="16">
    <w:abstractNumId w:val="14"/>
  </w:num>
  <w:num w:numId="17">
    <w:abstractNumId w:val="16"/>
  </w:num>
  <w:num w:numId="18">
    <w:abstractNumId w:val="5"/>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0419"/>
    <w:rsid w:val="00004B28"/>
    <w:rsid w:val="00006633"/>
    <w:rsid w:val="0000703A"/>
    <w:rsid w:val="000078D6"/>
    <w:rsid w:val="000162D5"/>
    <w:rsid w:val="000240AC"/>
    <w:rsid w:val="00025B19"/>
    <w:rsid w:val="000277D7"/>
    <w:rsid w:val="00031147"/>
    <w:rsid w:val="00033584"/>
    <w:rsid w:val="00036BFD"/>
    <w:rsid w:val="00036C32"/>
    <w:rsid w:val="00036D3D"/>
    <w:rsid w:val="00037738"/>
    <w:rsid w:val="00037A2D"/>
    <w:rsid w:val="0004320E"/>
    <w:rsid w:val="00043B7B"/>
    <w:rsid w:val="000502FD"/>
    <w:rsid w:val="000505CB"/>
    <w:rsid w:val="00055D15"/>
    <w:rsid w:val="000566E1"/>
    <w:rsid w:val="00060A16"/>
    <w:rsid w:val="00064FA3"/>
    <w:rsid w:val="000676A1"/>
    <w:rsid w:val="0007088F"/>
    <w:rsid w:val="000723BB"/>
    <w:rsid w:val="00072574"/>
    <w:rsid w:val="000752E1"/>
    <w:rsid w:val="00080CC2"/>
    <w:rsid w:val="00082EC4"/>
    <w:rsid w:val="0008663F"/>
    <w:rsid w:val="00095BCA"/>
    <w:rsid w:val="000978FD"/>
    <w:rsid w:val="000A1873"/>
    <w:rsid w:val="000A2994"/>
    <w:rsid w:val="000A4883"/>
    <w:rsid w:val="000B09C9"/>
    <w:rsid w:val="000B161E"/>
    <w:rsid w:val="000B1938"/>
    <w:rsid w:val="000B1D18"/>
    <w:rsid w:val="000B2144"/>
    <w:rsid w:val="000B6690"/>
    <w:rsid w:val="000C008E"/>
    <w:rsid w:val="000C0937"/>
    <w:rsid w:val="000C2AA4"/>
    <w:rsid w:val="000D18C1"/>
    <w:rsid w:val="000D2B2B"/>
    <w:rsid w:val="000D51D8"/>
    <w:rsid w:val="000D5753"/>
    <w:rsid w:val="000E15E2"/>
    <w:rsid w:val="000E5A48"/>
    <w:rsid w:val="000E7279"/>
    <w:rsid w:val="000F40EC"/>
    <w:rsid w:val="0010503F"/>
    <w:rsid w:val="001119CE"/>
    <w:rsid w:val="00111B28"/>
    <w:rsid w:val="00114A1F"/>
    <w:rsid w:val="001251FB"/>
    <w:rsid w:val="00126DEE"/>
    <w:rsid w:val="00127B59"/>
    <w:rsid w:val="001305AC"/>
    <w:rsid w:val="001322B8"/>
    <w:rsid w:val="00134957"/>
    <w:rsid w:val="00135BED"/>
    <w:rsid w:val="00135C3C"/>
    <w:rsid w:val="00141555"/>
    <w:rsid w:val="00141FF4"/>
    <w:rsid w:val="00144C24"/>
    <w:rsid w:val="001456E6"/>
    <w:rsid w:val="00152D85"/>
    <w:rsid w:val="001556FC"/>
    <w:rsid w:val="00157E02"/>
    <w:rsid w:val="00175A07"/>
    <w:rsid w:val="001826EA"/>
    <w:rsid w:val="00185A91"/>
    <w:rsid w:val="00190A87"/>
    <w:rsid w:val="00190FAF"/>
    <w:rsid w:val="001911F4"/>
    <w:rsid w:val="00191ACA"/>
    <w:rsid w:val="00193869"/>
    <w:rsid w:val="001942B4"/>
    <w:rsid w:val="001A2383"/>
    <w:rsid w:val="001A344D"/>
    <w:rsid w:val="001A34F9"/>
    <w:rsid w:val="001A4C12"/>
    <w:rsid w:val="001A7350"/>
    <w:rsid w:val="001B0AEB"/>
    <w:rsid w:val="001B1D5F"/>
    <w:rsid w:val="001B2FA1"/>
    <w:rsid w:val="001B3269"/>
    <w:rsid w:val="001B361E"/>
    <w:rsid w:val="001B3BC2"/>
    <w:rsid w:val="001B4767"/>
    <w:rsid w:val="001B7E53"/>
    <w:rsid w:val="001C1DAB"/>
    <w:rsid w:val="001C473D"/>
    <w:rsid w:val="001D12CB"/>
    <w:rsid w:val="001D59CE"/>
    <w:rsid w:val="001D5F73"/>
    <w:rsid w:val="001D69F7"/>
    <w:rsid w:val="001D70B0"/>
    <w:rsid w:val="001F0BEA"/>
    <w:rsid w:val="001F1421"/>
    <w:rsid w:val="00212BCD"/>
    <w:rsid w:val="00212DB4"/>
    <w:rsid w:val="002136B8"/>
    <w:rsid w:val="00216BC3"/>
    <w:rsid w:val="002222FA"/>
    <w:rsid w:val="00223C14"/>
    <w:rsid w:val="0023239F"/>
    <w:rsid w:val="00233615"/>
    <w:rsid w:val="002340BA"/>
    <w:rsid w:val="00234C75"/>
    <w:rsid w:val="00236172"/>
    <w:rsid w:val="00237A12"/>
    <w:rsid w:val="002428E4"/>
    <w:rsid w:val="0024433A"/>
    <w:rsid w:val="00245E3F"/>
    <w:rsid w:val="002500C6"/>
    <w:rsid w:val="00253AF0"/>
    <w:rsid w:val="002551E1"/>
    <w:rsid w:val="002561B6"/>
    <w:rsid w:val="00256265"/>
    <w:rsid w:val="00256FA7"/>
    <w:rsid w:val="00260626"/>
    <w:rsid w:val="00262BBD"/>
    <w:rsid w:val="00267070"/>
    <w:rsid w:val="00267B57"/>
    <w:rsid w:val="00271E84"/>
    <w:rsid w:val="00273494"/>
    <w:rsid w:val="00276074"/>
    <w:rsid w:val="00276F97"/>
    <w:rsid w:val="002802D7"/>
    <w:rsid w:val="002911AD"/>
    <w:rsid w:val="00296038"/>
    <w:rsid w:val="002A2C8B"/>
    <w:rsid w:val="002A52AF"/>
    <w:rsid w:val="002B110B"/>
    <w:rsid w:val="002B32DD"/>
    <w:rsid w:val="002C1AD2"/>
    <w:rsid w:val="002D167F"/>
    <w:rsid w:val="002D4547"/>
    <w:rsid w:val="002D4BCF"/>
    <w:rsid w:val="002D4E9D"/>
    <w:rsid w:val="002E61C9"/>
    <w:rsid w:val="002E6200"/>
    <w:rsid w:val="002E692B"/>
    <w:rsid w:val="002E6AB3"/>
    <w:rsid w:val="002F4BF9"/>
    <w:rsid w:val="002F5ADB"/>
    <w:rsid w:val="002F7DD1"/>
    <w:rsid w:val="00300C5D"/>
    <w:rsid w:val="0030141D"/>
    <w:rsid w:val="00304240"/>
    <w:rsid w:val="00304AB3"/>
    <w:rsid w:val="0030768E"/>
    <w:rsid w:val="00311F6E"/>
    <w:rsid w:val="003179AD"/>
    <w:rsid w:val="00320179"/>
    <w:rsid w:val="00320565"/>
    <w:rsid w:val="00321461"/>
    <w:rsid w:val="0032189B"/>
    <w:rsid w:val="00330B37"/>
    <w:rsid w:val="00334DB1"/>
    <w:rsid w:val="00336D67"/>
    <w:rsid w:val="00340314"/>
    <w:rsid w:val="00341879"/>
    <w:rsid w:val="00341CB7"/>
    <w:rsid w:val="00342086"/>
    <w:rsid w:val="003420EE"/>
    <w:rsid w:val="00343CCD"/>
    <w:rsid w:val="003460D5"/>
    <w:rsid w:val="003576A0"/>
    <w:rsid w:val="00361C16"/>
    <w:rsid w:val="00365B8F"/>
    <w:rsid w:val="003679C3"/>
    <w:rsid w:val="00372A8A"/>
    <w:rsid w:val="00372D50"/>
    <w:rsid w:val="003731AF"/>
    <w:rsid w:val="0037446F"/>
    <w:rsid w:val="00375C4E"/>
    <w:rsid w:val="00380000"/>
    <w:rsid w:val="00384228"/>
    <w:rsid w:val="00390E2E"/>
    <w:rsid w:val="00390E73"/>
    <w:rsid w:val="00390FB4"/>
    <w:rsid w:val="003922D6"/>
    <w:rsid w:val="00392D92"/>
    <w:rsid w:val="00392F22"/>
    <w:rsid w:val="00394045"/>
    <w:rsid w:val="003953EC"/>
    <w:rsid w:val="00396E48"/>
    <w:rsid w:val="003A0B1A"/>
    <w:rsid w:val="003A4A2A"/>
    <w:rsid w:val="003A5735"/>
    <w:rsid w:val="003B4EC6"/>
    <w:rsid w:val="003B6F2C"/>
    <w:rsid w:val="003B6F44"/>
    <w:rsid w:val="003B717D"/>
    <w:rsid w:val="003B751D"/>
    <w:rsid w:val="003C2950"/>
    <w:rsid w:val="003C5399"/>
    <w:rsid w:val="003C5440"/>
    <w:rsid w:val="003D1A4E"/>
    <w:rsid w:val="003D1E1C"/>
    <w:rsid w:val="003D3860"/>
    <w:rsid w:val="003D3CD3"/>
    <w:rsid w:val="003D4A95"/>
    <w:rsid w:val="003E0958"/>
    <w:rsid w:val="003E1D22"/>
    <w:rsid w:val="003E3846"/>
    <w:rsid w:val="003E7CE1"/>
    <w:rsid w:val="003F3AFD"/>
    <w:rsid w:val="003F6ABF"/>
    <w:rsid w:val="00403E57"/>
    <w:rsid w:val="0040415F"/>
    <w:rsid w:val="00404FF6"/>
    <w:rsid w:val="00406254"/>
    <w:rsid w:val="00412763"/>
    <w:rsid w:val="004136AB"/>
    <w:rsid w:val="00413FAB"/>
    <w:rsid w:val="00414D11"/>
    <w:rsid w:val="00415AD8"/>
    <w:rsid w:val="00415B4C"/>
    <w:rsid w:val="00415D56"/>
    <w:rsid w:val="00420F74"/>
    <w:rsid w:val="00424604"/>
    <w:rsid w:val="004246D2"/>
    <w:rsid w:val="00427CB3"/>
    <w:rsid w:val="00430C1C"/>
    <w:rsid w:val="00432EC9"/>
    <w:rsid w:val="0043723B"/>
    <w:rsid w:val="00440924"/>
    <w:rsid w:val="00443070"/>
    <w:rsid w:val="0044584A"/>
    <w:rsid w:val="0044653C"/>
    <w:rsid w:val="00446F8F"/>
    <w:rsid w:val="004477D6"/>
    <w:rsid w:val="00450E5B"/>
    <w:rsid w:val="00452823"/>
    <w:rsid w:val="00454C6D"/>
    <w:rsid w:val="00457055"/>
    <w:rsid w:val="00463114"/>
    <w:rsid w:val="0046367F"/>
    <w:rsid w:val="00466B81"/>
    <w:rsid w:val="00471709"/>
    <w:rsid w:val="00471AD9"/>
    <w:rsid w:val="0047389C"/>
    <w:rsid w:val="004745FB"/>
    <w:rsid w:val="00475801"/>
    <w:rsid w:val="004772C1"/>
    <w:rsid w:val="004774BA"/>
    <w:rsid w:val="00486B2C"/>
    <w:rsid w:val="004927F4"/>
    <w:rsid w:val="00494DF4"/>
    <w:rsid w:val="00496030"/>
    <w:rsid w:val="004A0C67"/>
    <w:rsid w:val="004A1AEA"/>
    <w:rsid w:val="004A5C45"/>
    <w:rsid w:val="004C60BA"/>
    <w:rsid w:val="004C735E"/>
    <w:rsid w:val="004D32F2"/>
    <w:rsid w:val="004D4385"/>
    <w:rsid w:val="004D606F"/>
    <w:rsid w:val="004D62D5"/>
    <w:rsid w:val="004D7A64"/>
    <w:rsid w:val="004E3A43"/>
    <w:rsid w:val="004F61DC"/>
    <w:rsid w:val="004F74AE"/>
    <w:rsid w:val="005007D4"/>
    <w:rsid w:val="00502B78"/>
    <w:rsid w:val="005039F0"/>
    <w:rsid w:val="00511B61"/>
    <w:rsid w:val="00512FC9"/>
    <w:rsid w:val="00513AA1"/>
    <w:rsid w:val="0051628D"/>
    <w:rsid w:val="0051755B"/>
    <w:rsid w:val="0052004E"/>
    <w:rsid w:val="00520A23"/>
    <w:rsid w:val="005240BC"/>
    <w:rsid w:val="0052635C"/>
    <w:rsid w:val="00530A86"/>
    <w:rsid w:val="00531B04"/>
    <w:rsid w:val="005349FC"/>
    <w:rsid w:val="00542B46"/>
    <w:rsid w:val="00544DED"/>
    <w:rsid w:val="00551CC7"/>
    <w:rsid w:val="00555FA0"/>
    <w:rsid w:val="00561831"/>
    <w:rsid w:val="00563788"/>
    <w:rsid w:val="00564234"/>
    <w:rsid w:val="005649E8"/>
    <w:rsid w:val="0057053B"/>
    <w:rsid w:val="00570911"/>
    <w:rsid w:val="0057640A"/>
    <w:rsid w:val="00576785"/>
    <w:rsid w:val="00581A65"/>
    <w:rsid w:val="00581CF8"/>
    <w:rsid w:val="00585B50"/>
    <w:rsid w:val="00592A23"/>
    <w:rsid w:val="005948A9"/>
    <w:rsid w:val="005955C1"/>
    <w:rsid w:val="005963F4"/>
    <w:rsid w:val="005A382F"/>
    <w:rsid w:val="005A3D99"/>
    <w:rsid w:val="005A5B85"/>
    <w:rsid w:val="005A69FF"/>
    <w:rsid w:val="005A768A"/>
    <w:rsid w:val="005B2E70"/>
    <w:rsid w:val="005B5C3C"/>
    <w:rsid w:val="005B7C38"/>
    <w:rsid w:val="005C2CC5"/>
    <w:rsid w:val="005C3F0F"/>
    <w:rsid w:val="005C4076"/>
    <w:rsid w:val="005C506E"/>
    <w:rsid w:val="005C5C02"/>
    <w:rsid w:val="005D0B2C"/>
    <w:rsid w:val="005D39F4"/>
    <w:rsid w:val="005D4401"/>
    <w:rsid w:val="005D4C79"/>
    <w:rsid w:val="005D7561"/>
    <w:rsid w:val="005E2E23"/>
    <w:rsid w:val="005E3163"/>
    <w:rsid w:val="005E6FC3"/>
    <w:rsid w:val="005F5AC9"/>
    <w:rsid w:val="00601500"/>
    <w:rsid w:val="00603256"/>
    <w:rsid w:val="006125F9"/>
    <w:rsid w:val="00616F03"/>
    <w:rsid w:val="00617F75"/>
    <w:rsid w:val="00621AA7"/>
    <w:rsid w:val="0063053E"/>
    <w:rsid w:val="00632A49"/>
    <w:rsid w:val="0063482D"/>
    <w:rsid w:val="00637F05"/>
    <w:rsid w:val="00640255"/>
    <w:rsid w:val="006469D6"/>
    <w:rsid w:val="00653BB4"/>
    <w:rsid w:val="006571A2"/>
    <w:rsid w:val="00657FF9"/>
    <w:rsid w:val="006634DB"/>
    <w:rsid w:val="00664B31"/>
    <w:rsid w:val="00666EA1"/>
    <w:rsid w:val="00672C28"/>
    <w:rsid w:val="00673EB7"/>
    <w:rsid w:val="00674294"/>
    <w:rsid w:val="006800AE"/>
    <w:rsid w:val="00680D25"/>
    <w:rsid w:val="006812B2"/>
    <w:rsid w:val="00684A23"/>
    <w:rsid w:val="0069000C"/>
    <w:rsid w:val="006931BD"/>
    <w:rsid w:val="006939ED"/>
    <w:rsid w:val="00696D8E"/>
    <w:rsid w:val="0069713B"/>
    <w:rsid w:val="00697690"/>
    <w:rsid w:val="006A0A85"/>
    <w:rsid w:val="006A22C3"/>
    <w:rsid w:val="006A7B11"/>
    <w:rsid w:val="006B2408"/>
    <w:rsid w:val="006B7D13"/>
    <w:rsid w:val="006C17A2"/>
    <w:rsid w:val="006C1F5B"/>
    <w:rsid w:val="006C671F"/>
    <w:rsid w:val="006D463C"/>
    <w:rsid w:val="006D4F64"/>
    <w:rsid w:val="006D51EF"/>
    <w:rsid w:val="006D62EA"/>
    <w:rsid w:val="006D679C"/>
    <w:rsid w:val="006D6EE7"/>
    <w:rsid w:val="006E214A"/>
    <w:rsid w:val="006E2F13"/>
    <w:rsid w:val="006E7CED"/>
    <w:rsid w:val="006E7F53"/>
    <w:rsid w:val="006F009A"/>
    <w:rsid w:val="006F3844"/>
    <w:rsid w:val="006F5211"/>
    <w:rsid w:val="006F718A"/>
    <w:rsid w:val="006F7948"/>
    <w:rsid w:val="006F7A32"/>
    <w:rsid w:val="00701C8C"/>
    <w:rsid w:val="007025DD"/>
    <w:rsid w:val="00703BAA"/>
    <w:rsid w:val="00706AEA"/>
    <w:rsid w:val="00707153"/>
    <w:rsid w:val="00707369"/>
    <w:rsid w:val="00711D23"/>
    <w:rsid w:val="00714F93"/>
    <w:rsid w:val="007158E6"/>
    <w:rsid w:val="00724078"/>
    <w:rsid w:val="007260FF"/>
    <w:rsid w:val="007276AF"/>
    <w:rsid w:val="0073082C"/>
    <w:rsid w:val="00732338"/>
    <w:rsid w:val="00733434"/>
    <w:rsid w:val="00735937"/>
    <w:rsid w:val="0073758A"/>
    <w:rsid w:val="007514CB"/>
    <w:rsid w:val="00760B23"/>
    <w:rsid w:val="00764288"/>
    <w:rsid w:val="00766391"/>
    <w:rsid w:val="00776B55"/>
    <w:rsid w:val="0078172C"/>
    <w:rsid w:val="00783812"/>
    <w:rsid w:val="00785D79"/>
    <w:rsid w:val="007878A9"/>
    <w:rsid w:val="0079372C"/>
    <w:rsid w:val="0079429A"/>
    <w:rsid w:val="00797EC2"/>
    <w:rsid w:val="007A13C5"/>
    <w:rsid w:val="007A2FD1"/>
    <w:rsid w:val="007A330F"/>
    <w:rsid w:val="007B510C"/>
    <w:rsid w:val="007C0DD9"/>
    <w:rsid w:val="007C2284"/>
    <w:rsid w:val="007C759A"/>
    <w:rsid w:val="007C7FDE"/>
    <w:rsid w:val="007D41EC"/>
    <w:rsid w:val="007D48BB"/>
    <w:rsid w:val="007E0AA7"/>
    <w:rsid w:val="007E1D08"/>
    <w:rsid w:val="007E213F"/>
    <w:rsid w:val="007E2405"/>
    <w:rsid w:val="007E2DF6"/>
    <w:rsid w:val="007F0740"/>
    <w:rsid w:val="007F25EF"/>
    <w:rsid w:val="007F30C7"/>
    <w:rsid w:val="007F34F0"/>
    <w:rsid w:val="007F7505"/>
    <w:rsid w:val="007F7E36"/>
    <w:rsid w:val="007F7F2C"/>
    <w:rsid w:val="00803FA0"/>
    <w:rsid w:val="00804083"/>
    <w:rsid w:val="00817607"/>
    <w:rsid w:val="00817BBD"/>
    <w:rsid w:val="00823A1C"/>
    <w:rsid w:val="00835D43"/>
    <w:rsid w:val="00841790"/>
    <w:rsid w:val="0084197E"/>
    <w:rsid w:val="0084480A"/>
    <w:rsid w:val="00846209"/>
    <w:rsid w:val="00856607"/>
    <w:rsid w:val="0085709E"/>
    <w:rsid w:val="00865BF3"/>
    <w:rsid w:val="008666A0"/>
    <w:rsid w:val="008703AE"/>
    <w:rsid w:val="0087634F"/>
    <w:rsid w:val="0087797E"/>
    <w:rsid w:val="00880DB1"/>
    <w:rsid w:val="008815B5"/>
    <w:rsid w:val="00882390"/>
    <w:rsid w:val="0088277A"/>
    <w:rsid w:val="00882FE4"/>
    <w:rsid w:val="0088479A"/>
    <w:rsid w:val="00885223"/>
    <w:rsid w:val="00887CF9"/>
    <w:rsid w:val="00890562"/>
    <w:rsid w:val="00895539"/>
    <w:rsid w:val="00897B68"/>
    <w:rsid w:val="008A15DE"/>
    <w:rsid w:val="008A3DBA"/>
    <w:rsid w:val="008A4F6F"/>
    <w:rsid w:val="008A6753"/>
    <w:rsid w:val="008A6990"/>
    <w:rsid w:val="008A6F6B"/>
    <w:rsid w:val="008B2BFF"/>
    <w:rsid w:val="008B37FF"/>
    <w:rsid w:val="008B5751"/>
    <w:rsid w:val="008C187A"/>
    <w:rsid w:val="008C2206"/>
    <w:rsid w:val="008C4C7A"/>
    <w:rsid w:val="008D4982"/>
    <w:rsid w:val="008E161D"/>
    <w:rsid w:val="008E1EF4"/>
    <w:rsid w:val="008E393F"/>
    <w:rsid w:val="008E7189"/>
    <w:rsid w:val="008E7911"/>
    <w:rsid w:val="008F1CD9"/>
    <w:rsid w:val="008F4460"/>
    <w:rsid w:val="008F7807"/>
    <w:rsid w:val="0090218F"/>
    <w:rsid w:val="00905280"/>
    <w:rsid w:val="00910096"/>
    <w:rsid w:val="00912BC3"/>
    <w:rsid w:val="00912CF1"/>
    <w:rsid w:val="00924A6E"/>
    <w:rsid w:val="009271BA"/>
    <w:rsid w:val="00927B05"/>
    <w:rsid w:val="009306C9"/>
    <w:rsid w:val="0093163A"/>
    <w:rsid w:val="00937E22"/>
    <w:rsid w:val="009460B5"/>
    <w:rsid w:val="0094767F"/>
    <w:rsid w:val="009479CD"/>
    <w:rsid w:val="0095125E"/>
    <w:rsid w:val="00952028"/>
    <w:rsid w:val="0095297E"/>
    <w:rsid w:val="009536EB"/>
    <w:rsid w:val="00956BED"/>
    <w:rsid w:val="0096468A"/>
    <w:rsid w:val="0096631C"/>
    <w:rsid w:val="0097141E"/>
    <w:rsid w:val="00971E58"/>
    <w:rsid w:val="0097259E"/>
    <w:rsid w:val="00982F4B"/>
    <w:rsid w:val="009862F0"/>
    <w:rsid w:val="009912C5"/>
    <w:rsid w:val="009A1EA2"/>
    <w:rsid w:val="009A2412"/>
    <w:rsid w:val="009A453C"/>
    <w:rsid w:val="009A5EA0"/>
    <w:rsid w:val="009B24D3"/>
    <w:rsid w:val="009B2CF8"/>
    <w:rsid w:val="009B4AB1"/>
    <w:rsid w:val="009C07CB"/>
    <w:rsid w:val="009C0AD1"/>
    <w:rsid w:val="009C718A"/>
    <w:rsid w:val="009D2CB6"/>
    <w:rsid w:val="009D661C"/>
    <w:rsid w:val="009E3E31"/>
    <w:rsid w:val="009E4A78"/>
    <w:rsid w:val="009E506A"/>
    <w:rsid w:val="009E64E0"/>
    <w:rsid w:val="009F010A"/>
    <w:rsid w:val="009F0D05"/>
    <w:rsid w:val="009F1A67"/>
    <w:rsid w:val="009F2104"/>
    <w:rsid w:val="00A0081A"/>
    <w:rsid w:val="00A00FB4"/>
    <w:rsid w:val="00A01408"/>
    <w:rsid w:val="00A02560"/>
    <w:rsid w:val="00A02807"/>
    <w:rsid w:val="00A20DFF"/>
    <w:rsid w:val="00A23839"/>
    <w:rsid w:val="00A2451F"/>
    <w:rsid w:val="00A25C57"/>
    <w:rsid w:val="00A33978"/>
    <w:rsid w:val="00A33FE5"/>
    <w:rsid w:val="00A407AC"/>
    <w:rsid w:val="00A51FC3"/>
    <w:rsid w:val="00A60CDE"/>
    <w:rsid w:val="00A61DF4"/>
    <w:rsid w:val="00A620B4"/>
    <w:rsid w:val="00A675C7"/>
    <w:rsid w:val="00A707C5"/>
    <w:rsid w:val="00A72210"/>
    <w:rsid w:val="00A75B82"/>
    <w:rsid w:val="00A765AC"/>
    <w:rsid w:val="00A76B80"/>
    <w:rsid w:val="00A83A17"/>
    <w:rsid w:val="00A85027"/>
    <w:rsid w:val="00A87E15"/>
    <w:rsid w:val="00A96D24"/>
    <w:rsid w:val="00AA0064"/>
    <w:rsid w:val="00AA2C1B"/>
    <w:rsid w:val="00AA333A"/>
    <w:rsid w:val="00AA3CB7"/>
    <w:rsid w:val="00AA3FAE"/>
    <w:rsid w:val="00AA43E5"/>
    <w:rsid w:val="00AA5BAF"/>
    <w:rsid w:val="00AA6DAB"/>
    <w:rsid w:val="00AA76D6"/>
    <w:rsid w:val="00AA7EAE"/>
    <w:rsid w:val="00AB304B"/>
    <w:rsid w:val="00AB72B7"/>
    <w:rsid w:val="00AC214F"/>
    <w:rsid w:val="00AC3051"/>
    <w:rsid w:val="00AC6372"/>
    <w:rsid w:val="00AC7666"/>
    <w:rsid w:val="00AD301A"/>
    <w:rsid w:val="00AD75AE"/>
    <w:rsid w:val="00AE1953"/>
    <w:rsid w:val="00AE3826"/>
    <w:rsid w:val="00AE6011"/>
    <w:rsid w:val="00AE64E3"/>
    <w:rsid w:val="00AE6965"/>
    <w:rsid w:val="00AF1218"/>
    <w:rsid w:val="00AF1285"/>
    <w:rsid w:val="00AF2710"/>
    <w:rsid w:val="00B03F05"/>
    <w:rsid w:val="00B073B4"/>
    <w:rsid w:val="00B07D72"/>
    <w:rsid w:val="00B205DD"/>
    <w:rsid w:val="00B21144"/>
    <w:rsid w:val="00B21234"/>
    <w:rsid w:val="00B226EC"/>
    <w:rsid w:val="00B236AE"/>
    <w:rsid w:val="00B25068"/>
    <w:rsid w:val="00B25314"/>
    <w:rsid w:val="00B305C6"/>
    <w:rsid w:val="00B3069B"/>
    <w:rsid w:val="00B30D4C"/>
    <w:rsid w:val="00B33EE7"/>
    <w:rsid w:val="00B36BE9"/>
    <w:rsid w:val="00B36DB5"/>
    <w:rsid w:val="00B403D4"/>
    <w:rsid w:val="00B472A1"/>
    <w:rsid w:val="00B475EE"/>
    <w:rsid w:val="00B51988"/>
    <w:rsid w:val="00B5693F"/>
    <w:rsid w:val="00B63582"/>
    <w:rsid w:val="00B70A76"/>
    <w:rsid w:val="00B76C9C"/>
    <w:rsid w:val="00B80225"/>
    <w:rsid w:val="00B91029"/>
    <w:rsid w:val="00B936EA"/>
    <w:rsid w:val="00BA130D"/>
    <w:rsid w:val="00BA1A39"/>
    <w:rsid w:val="00BB03AA"/>
    <w:rsid w:val="00BB0704"/>
    <w:rsid w:val="00BB299E"/>
    <w:rsid w:val="00BC2F24"/>
    <w:rsid w:val="00BC5C55"/>
    <w:rsid w:val="00BC717B"/>
    <w:rsid w:val="00BD07F6"/>
    <w:rsid w:val="00BD3255"/>
    <w:rsid w:val="00BE2B75"/>
    <w:rsid w:val="00BE3AF0"/>
    <w:rsid w:val="00BE3ECD"/>
    <w:rsid w:val="00BE56D3"/>
    <w:rsid w:val="00BE66BB"/>
    <w:rsid w:val="00BE7920"/>
    <w:rsid w:val="00C01CA9"/>
    <w:rsid w:val="00C0445B"/>
    <w:rsid w:val="00C07359"/>
    <w:rsid w:val="00C07B4B"/>
    <w:rsid w:val="00C1498E"/>
    <w:rsid w:val="00C16F07"/>
    <w:rsid w:val="00C25C60"/>
    <w:rsid w:val="00C3047B"/>
    <w:rsid w:val="00C31487"/>
    <w:rsid w:val="00C33EEF"/>
    <w:rsid w:val="00C35774"/>
    <w:rsid w:val="00C447AC"/>
    <w:rsid w:val="00C448F4"/>
    <w:rsid w:val="00C472BE"/>
    <w:rsid w:val="00C50F28"/>
    <w:rsid w:val="00C53D68"/>
    <w:rsid w:val="00C5589F"/>
    <w:rsid w:val="00C61623"/>
    <w:rsid w:val="00C663F0"/>
    <w:rsid w:val="00C733E5"/>
    <w:rsid w:val="00C75852"/>
    <w:rsid w:val="00C758A1"/>
    <w:rsid w:val="00C81BA0"/>
    <w:rsid w:val="00C92F7E"/>
    <w:rsid w:val="00C93417"/>
    <w:rsid w:val="00C93460"/>
    <w:rsid w:val="00C97A48"/>
    <w:rsid w:val="00CA11A4"/>
    <w:rsid w:val="00CA2D74"/>
    <w:rsid w:val="00CA2F8B"/>
    <w:rsid w:val="00CB1A56"/>
    <w:rsid w:val="00CB3AF7"/>
    <w:rsid w:val="00CB5632"/>
    <w:rsid w:val="00CB786B"/>
    <w:rsid w:val="00CC03CF"/>
    <w:rsid w:val="00CC1A0C"/>
    <w:rsid w:val="00CC4341"/>
    <w:rsid w:val="00CC5834"/>
    <w:rsid w:val="00CC62E8"/>
    <w:rsid w:val="00CC6BD8"/>
    <w:rsid w:val="00CC72B0"/>
    <w:rsid w:val="00CD0C0C"/>
    <w:rsid w:val="00CD46D5"/>
    <w:rsid w:val="00CD6B98"/>
    <w:rsid w:val="00CD729C"/>
    <w:rsid w:val="00CE298A"/>
    <w:rsid w:val="00CE2EC2"/>
    <w:rsid w:val="00CE3BB0"/>
    <w:rsid w:val="00CE3E0A"/>
    <w:rsid w:val="00CE565B"/>
    <w:rsid w:val="00CE5B98"/>
    <w:rsid w:val="00CE7C33"/>
    <w:rsid w:val="00CF2621"/>
    <w:rsid w:val="00CF477A"/>
    <w:rsid w:val="00CF4D2F"/>
    <w:rsid w:val="00CF781D"/>
    <w:rsid w:val="00D01B08"/>
    <w:rsid w:val="00D03E0C"/>
    <w:rsid w:val="00D05517"/>
    <w:rsid w:val="00D104F6"/>
    <w:rsid w:val="00D114EA"/>
    <w:rsid w:val="00D13979"/>
    <w:rsid w:val="00D13CE2"/>
    <w:rsid w:val="00D15A18"/>
    <w:rsid w:val="00D16925"/>
    <w:rsid w:val="00D20EDC"/>
    <w:rsid w:val="00D226CE"/>
    <w:rsid w:val="00D242C5"/>
    <w:rsid w:val="00D26BF2"/>
    <w:rsid w:val="00D26F6E"/>
    <w:rsid w:val="00D27F50"/>
    <w:rsid w:val="00D35939"/>
    <w:rsid w:val="00D43587"/>
    <w:rsid w:val="00D43FDB"/>
    <w:rsid w:val="00D45139"/>
    <w:rsid w:val="00D45C4F"/>
    <w:rsid w:val="00D526C9"/>
    <w:rsid w:val="00D533AB"/>
    <w:rsid w:val="00D5676C"/>
    <w:rsid w:val="00D57EF6"/>
    <w:rsid w:val="00D6107C"/>
    <w:rsid w:val="00D6139B"/>
    <w:rsid w:val="00D62FD5"/>
    <w:rsid w:val="00D635A8"/>
    <w:rsid w:val="00D73418"/>
    <w:rsid w:val="00D74DD4"/>
    <w:rsid w:val="00D75DA1"/>
    <w:rsid w:val="00D76F6E"/>
    <w:rsid w:val="00D801F5"/>
    <w:rsid w:val="00D851CA"/>
    <w:rsid w:val="00D85925"/>
    <w:rsid w:val="00D92865"/>
    <w:rsid w:val="00D92B14"/>
    <w:rsid w:val="00D95016"/>
    <w:rsid w:val="00D956D6"/>
    <w:rsid w:val="00D971A3"/>
    <w:rsid w:val="00D9742C"/>
    <w:rsid w:val="00DA0578"/>
    <w:rsid w:val="00DA6317"/>
    <w:rsid w:val="00DB020D"/>
    <w:rsid w:val="00DB113C"/>
    <w:rsid w:val="00DB22CF"/>
    <w:rsid w:val="00DB5E41"/>
    <w:rsid w:val="00DB659A"/>
    <w:rsid w:val="00DC0D46"/>
    <w:rsid w:val="00DC21C1"/>
    <w:rsid w:val="00DC2554"/>
    <w:rsid w:val="00DC27A2"/>
    <w:rsid w:val="00DC2B66"/>
    <w:rsid w:val="00DC3576"/>
    <w:rsid w:val="00DC494E"/>
    <w:rsid w:val="00DC4A89"/>
    <w:rsid w:val="00DD1C65"/>
    <w:rsid w:val="00DD487E"/>
    <w:rsid w:val="00DD4A2B"/>
    <w:rsid w:val="00DD4FF8"/>
    <w:rsid w:val="00DE15ED"/>
    <w:rsid w:val="00DE44DC"/>
    <w:rsid w:val="00DF1E8D"/>
    <w:rsid w:val="00DF280F"/>
    <w:rsid w:val="00DF66F0"/>
    <w:rsid w:val="00DF6E59"/>
    <w:rsid w:val="00E00799"/>
    <w:rsid w:val="00E00E64"/>
    <w:rsid w:val="00E01D7D"/>
    <w:rsid w:val="00E026F9"/>
    <w:rsid w:val="00E053C3"/>
    <w:rsid w:val="00E06C9B"/>
    <w:rsid w:val="00E10F13"/>
    <w:rsid w:val="00E1270E"/>
    <w:rsid w:val="00E13436"/>
    <w:rsid w:val="00E22EFA"/>
    <w:rsid w:val="00E2767D"/>
    <w:rsid w:val="00E27EA4"/>
    <w:rsid w:val="00E345CB"/>
    <w:rsid w:val="00E3573E"/>
    <w:rsid w:val="00E45056"/>
    <w:rsid w:val="00E45A53"/>
    <w:rsid w:val="00E51052"/>
    <w:rsid w:val="00E52A20"/>
    <w:rsid w:val="00E531B2"/>
    <w:rsid w:val="00E55D1E"/>
    <w:rsid w:val="00E5758C"/>
    <w:rsid w:val="00E62A8E"/>
    <w:rsid w:val="00E673B3"/>
    <w:rsid w:val="00E67471"/>
    <w:rsid w:val="00E730BA"/>
    <w:rsid w:val="00E75FF9"/>
    <w:rsid w:val="00E8113F"/>
    <w:rsid w:val="00E841B1"/>
    <w:rsid w:val="00E859B5"/>
    <w:rsid w:val="00E86B58"/>
    <w:rsid w:val="00E87FD6"/>
    <w:rsid w:val="00E90D81"/>
    <w:rsid w:val="00E96256"/>
    <w:rsid w:val="00EA7B56"/>
    <w:rsid w:val="00EB0F40"/>
    <w:rsid w:val="00EB1001"/>
    <w:rsid w:val="00EB4E5F"/>
    <w:rsid w:val="00EB6CFC"/>
    <w:rsid w:val="00EC0046"/>
    <w:rsid w:val="00EC077A"/>
    <w:rsid w:val="00EC51EB"/>
    <w:rsid w:val="00EC77A0"/>
    <w:rsid w:val="00ED46EA"/>
    <w:rsid w:val="00EE1F08"/>
    <w:rsid w:val="00EE29DC"/>
    <w:rsid w:val="00EE3198"/>
    <w:rsid w:val="00EE4061"/>
    <w:rsid w:val="00EE4D51"/>
    <w:rsid w:val="00EE70D6"/>
    <w:rsid w:val="00EF0E7E"/>
    <w:rsid w:val="00EF576D"/>
    <w:rsid w:val="00EF57C9"/>
    <w:rsid w:val="00F00BFF"/>
    <w:rsid w:val="00F00EA0"/>
    <w:rsid w:val="00F017C8"/>
    <w:rsid w:val="00F02CF5"/>
    <w:rsid w:val="00F03209"/>
    <w:rsid w:val="00F0569A"/>
    <w:rsid w:val="00F06A89"/>
    <w:rsid w:val="00F06CD6"/>
    <w:rsid w:val="00F070F2"/>
    <w:rsid w:val="00F119B3"/>
    <w:rsid w:val="00F15BDB"/>
    <w:rsid w:val="00F16F3F"/>
    <w:rsid w:val="00F23F71"/>
    <w:rsid w:val="00F2498B"/>
    <w:rsid w:val="00F27DE5"/>
    <w:rsid w:val="00F35A58"/>
    <w:rsid w:val="00F376F2"/>
    <w:rsid w:val="00F37BD9"/>
    <w:rsid w:val="00F41CAD"/>
    <w:rsid w:val="00F437EA"/>
    <w:rsid w:val="00F52357"/>
    <w:rsid w:val="00F55239"/>
    <w:rsid w:val="00F55E1C"/>
    <w:rsid w:val="00F56AEB"/>
    <w:rsid w:val="00F56B33"/>
    <w:rsid w:val="00F572B4"/>
    <w:rsid w:val="00F6131B"/>
    <w:rsid w:val="00F62D40"/>
    <w:rsid w:val="00F65F71"/>
    <w:rsid w:val="00F7376B"/>
    <w:rsid w:val="00F75A55"/>
    <w:rsid w:val="00F769C9"/>
    <w:rsid w:val="00F77E5C"/>
    <w:rsid w:val="00F862F2"/>
    <w:rsid w:val="00F8649C"/>
    <w:rsid w:val="00F90279"/>
    <w:rsid w:val="00F910F0"/>
    <w:rsid w:val="00F91AD1"/>
    <w:rsid w:val="00FA19E0"/>
    <w:rsid w:val="00FA25E1"/>
    <w:rsid w:val="00FA440F"/>
    <w:rsid w:val="00FC144A"/>
    <w:rsid w:val="00FC1D89"/>
    <w:rsid w:val="00FC4A3C"/>
    <w:rsid w:val="00FC6BB4"/>
    <w:rsid w:val="00FE008A"/>
    <w:rsid w:val="00FE259C"/>
    <w:rsid w:val="00FE53F1"/>
    <w:rsid w:val="00FE796C"/>
    <w:rsid w:val="00FF1C80"/>
    <w:rsid w:val="00FF237F"/>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semiHidden/>
    <w:unhideWhenUsed/>
    <w:qFormat/>
    <w:rsid w:val="001911F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semiHidden/>
    <w:unhideWhenUsed/>
    <w:qFormat/>
    <w:rsid w:val="001911F4"/>
    <w:pPr>
      <w:widowControl/>
      <w:overflowPunct w:val="0"/>
      <w:autoSpaceDE w:val="0"/>
      <w:autoSpaceDN w:val="0"/>
      <w:adjustRightInd w:val="0"/>
      <w:spacing w:before="120" w:after="180" w:line="240" w:lineRule="auto"/>
      <w:ind w:left="1134" w:hanging="1134"/>
      <w:jc w:val="left"/>
      <w:outlineLvl w:val="2"/>
    </w:pPr>
    <w:rPr>
      <w:rFonts w:ascii="Arial" w:eastAsia="Times New Roman" w:hAnsi="Arial" w:cs="Times New Roman"/>
      <w:b w:val="0"/>
      <w:bCs w:val="0"/>
      <w:kern w:val="0"/>
      <w:sz w:val="28"/>
      <w:szCs w:val="20"/>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064FA3"/>
    <w:pPr>
      <w:ind w:firstLineChars="200" w:firstLine="420"/>
    </w:pPr>
  </w:style>
  <w:style w:type="paragraph" w:styleId="ad">
    <w:name w:val="annotation text"/>
    <w:basedOn w:val="a"/>
    <w:link w:val="ae"/>
    <w:uiPriority w:val="99"/>
    <w:semiHidden/>
    <w:unhideWhenUsed/>
    <w:rsid w:val="00AF2710"/>
    <w:pPr>
      <w:jc w:val="left"/>
    </w:pPr>
  </w:style>
  <w:style w:type="character" w:customStyle="1" w:styleId="ae">
    <w:name w:val="批注文字 字符"/>
    <w:basedOn w:val="a0"/>
    <w:link w:val="ad"/>
    <w:uiPriority w:val="99"/>
    <w:semiHidden/>
    <w:rsid w:val="00AF2710"/>
  </w:style>
  <w:style w:type="paragraph" w:styleId="af">
    <w:name w:val="annotation subject"/>
    <w:basedOn w:val="ad"/>
    <w:next w:val="ad"/>
    <w:link w:val="af0"/>
    <w:uiPriority w:val="99"/>
    <w:semiHidden/>
    <w:unhideWhenUsed/>
    <w:rsid w:val="00AF2710"/>
    <w:rPr>
      <w:b/>
      <w:bCs/>
    </w:rPr>
  </w:style>
  <w:style w:type="character" w:customStyle="1" w:styleId="af0">
    <w:name w:val="批注主题 字符"/>
    <w:basedOn w:val="ae"/>
    <w:link w:val="af"/>
    <w:uiPriority w:val="99"/>
    <w:semiHidden/>
    <w:rsid w:val="00AF2710"/>
    <w:rPr>
      <w:b/>
      <w:bCs/>
    </w:rPr>
  </w:style>
  <w:style w:type="paragraph" w:customStyle="1" w:styleId="Agreement">
    <w:name w:val="Agreement"/>
    <w:basedOn w:val="a"/>
    <w:next w:val="a"/>
    <w:qFormat/>
    <w:rsid w:val="00927B05"/>
    <w:pPr>
      <w:widowControl/>
      <w:numPr>
        <w:numId w:val="6"/>
      </w:numPr>
      <w:spacing w:before="60"/>
      <w:jc w:val="left"/>
    </w:pPr>
    <w:rPr>
      <w:rFonts w:ascii="Arial" w:eastAsia="MS Mincho" w:hAnsi="Arial" w:cs="Times New Roman"/>
      <w:b/>
      <w:kern w:val="0"/>
      <w:sz w:val="20"/>
      <w:szCs w:val="24"/>
      <w:lang w:val="en-GB" w:eastAsia="en-GB"/>
    </w:rPr>
  </w:style>
  <w:style w:type="paragraph" w:customStyle="1" w:styleId="B1">
    <w:name w:val="B1"/>
    <w:basedOn w:val="af1"/>
    <w:link w:val="B1Char1"/>
    <w:rsid w:val="00B80225"/>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paragraph" w:customStyle="1" w:styleId="B2">
    <w:name w:val="B2"/>
    <w:basedOn w:val="21"/>
    <w:link w:val="B2Char"/>
    <w:rsid w:val="00B80225"/>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locked/>
    <w:rsid w:val="00B80225"/>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B80225"/>
    <w:rPr>
      <w:rFonts w:ascii="Times New Roman" w:eastAsia="Times New Roman" w:hAnsi="Times New Roman" w:cs="Times New Roman"/>
      <w:kern w:val="0"/>
      <w:sz w:val="20"/>
      <w:szCs w:val="20"/>
      <w:lang w:val="en-GB" w:eastAsia="ja-JP"/>
    </w:rPr>
  </w:style>
  <w:style w:type="paragraph" w:styleId="af1">
    <w:name w:val="List"/>
    <w:basedOn w:val="a"/>
    <w:uiPriority w:val="99"/>
    <w:semiHidden/>
    <w:unhideWhenUsed/>
    <w:rsid w:val="00B80225"/>
    <w:pPr>
      <w:ind w:left="200" w:hangingChars="200" w:hanging="200"/>
      <w:contextualSpacing/>
    </w:pPr>
  </w:style>
  <w:style w:type="paragraph" w:styleId="21">
    <w:name w:val="List 2"/>
    <w:basedOn w:val="a"/>
    <w:uiPriority w:val="99"/>
    <w:semiHidden/>
    <w:unhideWhenUsed/>
    <w:rsid w:val="00B80225"/>
    <w:pPr>
      <w:ind w:leftChars="200" w:left="100" w:hangingChars="200" w:hanging="200"/>
      <w:contextualSpacing/>
    </w:pPr>
  </w:style>
  <w:style w:type="paragraph" w:styleId="af2">
    <w:name w:val="Normal (Web)"/>
    <w:basedOn w:val="a"/>
    <w:uiPriority w:val="99"/>
    <w:semiHidden/>
    <w:unhideWhenUsed/>
    <w:rsid w:val="003C5399"/>
    <w:pPr>
      <w:widowControl/>
      <w:spacing w:before="100" w:beforeAutospacing="1" w:after="100" w:afterAutospacing="1"/>
      <w:jc w:val="left"/>
    </w:pPr>
    <w:rPr>
      <w:rFonts w:ascii="宋体" w:eastAsia="宋体" w:hAnsi="宋体" w:cs="宋体"/>
      <w:kern w:val="0"/>
      <w:sz w:val="24"/>
      <w:szCs w:val="24"/>
    </w:rPr>
  </w:style>
  <w:style w:type="character" w:customStyle="1" w:styleId="30">
    <w:name w:val="标题 3 字符"/>
    <w:basedOn w:val="a0"/>
    <w:link w:val="3"/>
    <w:semiHidden/>
    <w:rsid w:val="001911F4"/>
    <w:rPr>
      <w:rFonts w:ascii="Arial" w:eastAsia="Times New Roman" w:hAnsi="Arial" w:cs="Times New Roman"/>
      <w:kern w:val="0"/>
      <w:sz w:val="28"/>
      <w:szCs w:val="20"/>
      <w:lang w:val="en-GB" w:eastAsia="ja-JP"/>
    </w:rPr>
  </w:style>
  <w:style w:type="character" w:customStyle="1" w:styleId="20">
    <w:name w:val="标题 2 字符"/>
    <w:basedOn w:val="a0"/>
    <w:link w:val="2"/>
    <w:uiPriority w:val="9"/>
    <w:semiHidden/>
    <w:rsid w:val="001911F4"/>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6155">
      <w:bodyDiv w:val="1"/>
      <w:marLeft w:val="0"/>
      <w:marRight w:val="0"/>
      <w:marTop w:val="0"/>
      <w:marBottom w:val="0"/>
      <w:divBdr>
        <w:top w:val="none" w:sz="0" w:space="0" w:color="auto"/>
        <w:left w:val="none" w:sz="0" w:space="0" w:color="auto"/>
        <w:bottom w:val="none" w:sz="0" w:space="0" w:color="auto"/>
        <w:right w:val="none" w:sz="0" w:space="0" w:color="auto"/>
      </w:divBdr>
    </w:div>
    <w:div w:id="379091810">
      <w:bodyDiv w:val="1"/>
      <w:marLeft w:val="0"/>
      <w:marRight w:val="0"/>
      <w:marTop w:val="0"/>
      <w:marBottom w:val="0"/>
      <w:divBdr>
        <w:top w:val="none" w:sz="0" w:space="0" w:color="auto"/>
        <w:left w:val="none" w:sz="0" w:space="0" w:color="auto"/>
        <w:bottom w:val="none" w:sz="0" w:space="0" w:color="auto"/>
        <w:right w:val="none" w:sz="0" w:space="0" w:color="auto"/>
      </w:divBdr>
    </w:div>
    <w:div w:id="521670414">
      <w:bodyDiv w:val="1"/>
      <w:marLeft w:val="0"/>
      <w:marRight w:val="0"/>
      <w:marTop w:val="0"/>
      <w:marBottom w:val="0"/>
      <w:divBdr>
        <w:top w:val="none" w:sz="0" w:space="0" w:color="auto"/>
        <w:left w:val="none" w:sz="0" w:space="0" w:color="auto"/>
        <w:bottom w:val="none" w:sz="0" w:space="0" w:color="auto"/>
        <w:right w:val="none" w:sz="0" w:space="0" w:color="auto"/>
      </w:divBdr>
    </w:div>
    <w:div w:id="901251455">
      <w:bodyDiv w:val="1"/>
      <w:marLeft w:val="0"/>
      <w:marRight w:val="0"/>
      <w:marTop w:val="0"/>
      <w:marBottom w:val="0"/>
      <w:divBdr>
        <w:top w:val="none" w:sz="0" w:space="0" w:color="auto"/>
        <w:left w:val="none" w:sz="0" w:space="0" w:color="auto"/>
        <w:bottom w:val="none" w:sz="0" w:space="0" w:color="auto"/>
        <w:right w:val="none" w:sz="0" w:space="0" w:color="auto"/>
      </w:divBdr>
    </w:div>
    <w:div w:id="1132601261">
      <w:bodyDiv w:val="1"/>
      <w:marLeft w:val="0"/>
      <w:marRight w:val="0"/>
      <w:marTop w:val="0"/>
      <w:marBottom w:val="0"/>
      <w:divBdr>
        <w:top w:val="none" w:sz="0" w:space="0" w:color="auto"/>
        <w:left w:val="none" w:sz="0" w:space="0" w:color="auto"/>
        <w:bottom w:val="none" w:sz="0" w:space="0" w:color="auto"/>
        <w:right w:val="none" w:sz="0" w:space="0" w:color="auto"/>
      </w:divBdr>
    </w:div>
    <w:div w:id="1349791408">
      <w:bodyDiv w:val="1"/>
      <w:marLeft w:val="0"/>
      <w:marRight w:val="0"/>
      <w:marTop w:val="0"/>
      <w:marBottom w:val="0"/>
      <w:divBdr>
        <w:top w:val="none" w:sz="0" w:space="0" w:color="auto"/>
        <w:left w:val="none" w:sz="0" w:space="0" w:color="auto"/>
        <w:bottom w:val="none" w:sz="0" w:space="0" w:color="auto"/>
        <w:right w:val="none" w:sz="0" w:space="0" w:color="auto"/>
      </w:divBdr>
    </w:div>
    <w:div w:id="161921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13F0C-EC81-4187-A1D5-F48B8820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3192</TotalTime>
  <Pages>3</Pages>
  <Words>1384</Words>
  <Characters>7890</Characters>
  <Application>Microsoft Office Word</Application>
  <DocSecurity>0</DocSecurity>
  <Lines>65</Lines>
  <Paragraphs>18</Paragraphs>
  <ScaleCrop>false</ScaleCrop>
  <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590</cp:revision>
  <dcterms:created xsi:type="dcterms:W3CDTF">2021-01-15T02:11:00Z</dcterms:created>
  <dcterms:modified xsi:type="dcterms:W3CDTF">2022-11-04T01:28:00Z</dcterms:modified>
</cp:coreProperties>
</file>